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3E4E" w:rsidRDefault="007F3E4E">
      <w:pPr>
        <w:jc w:val="both"/>
      </w:pPr>
    </w:p>
    <w:p w:rsidR="00972FE1" w:rsidRDefault="00D44C2A" w:rsidP="00972FE1">
      <w:pPr>
        <w:jc w:val="both"/>
      </w:pPr>
      <w:bookmarkStart w:id="0" w:name="OLE_LINK1"/>
      <w:bookmarkStart w:id="1" w:name="OLE_LINK2"/>
      <w:bookmarkEnd w:id="0"/>
      <w:bookmarkEnd w:id="1"/>
      <w:r w:rsidRPr="00B737DE">
        <w:rPr>
          <w:rFonts w:ascii="Calibri" w:hAnsi="Calibri"/>
          <w:sz w:val="24"/>
          <w:szCs w:val="24"/>
        </w:rPr>
        <w:tab/>
      </w:r>
      <w:r w:rsidR="005B62E3" w:rsidRPr="00B737DE">
        <w:rPr>
          <w:rFonts w:ascii="Calibri" w:hAnsi="Calibri" w:cs="Arial"/>
          <w:sz w:val="24"/>
          <w:szCs w:val="24"/>
          <w:lang w:eastAsia="cs-CZ"/>
        </w:rPr>
        <w:tab/>
      </w:r>
    </w:p>
    <w:p w:rsidR="00972FE1" w:rsidRDefault="00972FE1" w:rsidP="00972FE1">
      <w:pPr>
        <w:pStyle w:val="Nadpis3"/>
        <w:rPr>
          <w:rFonts w:ascii="Calibri" w:hAnsi="Calibri"/>
        </w:rPr>
      </w:pPr>
      <w:r>
        <w:rPr>
          <w:rFonts w:ascii="Calibri" w:hAnsi="Calibri"/>
        </w:rPr>
        <w:t>TISKOVÁ ZPRÁVA</w:t>
      </w:r>
    </w:p>
    <w:p w:rsidR="00935D73" w:rsidRDefault="00935D73" w:rsidP="00935D73">
      <w:pPr>
        <w:jc w:val="center"/>
        <w:rPr>
          <w:rFonts w:asciiTheme="minorHAnsi" w:hAnsiTheme="minorHAnsi"/>
          <w:b/>
          <w:sz w:val="28"/>
          <w:szCs w:val="28"/>
        </w:rPr>
      </w:pPr>
    </w:p>
    <w:p w:rsidR="00935D73" w:rsidRPr="00935D73" w:rsidRDefault="00935D73" w:rsidP="00935D73">
      <w:pPr>
        <w:jc w:val="center"/>
        <w:rPr>
          <w:rFonts w:asciiTheme="minorHAnsi" w:hAnsiTheme="minorHAnsi"/>
          <w:b/>
          <w:sz w:val="28"/>
          <w:szCs w:val="28"/>
          <w:lang w:eastAsia="cs-CZ"/>
        </w:rPr>
      </w:pPr>
      <w:r w:rsidRPr="00935D73">
        <w:rPr>
          <w:rFonts w:asciiTheme="minorHAnsi" w:hAnsiTheme="minorHAnsi"/>
          <w:b/>
          <w:sz w:val="28"/>
          <w:szCs w:val="28"/>
        </w:rPr>
        <w:t>Vzdělávání dětí i dospělých – telčští památkáři sčítají úspěchy roku 2014</w:t>
      </w:r>
    </w:p>
    <w:p w:rsidR="00A02866" w:rsidRPr="00935D73" w:rsidRDefault="00A02866" w:rsidP="00A02866">
      <w:pPr>
        <w:pBdr>
          <w:bottom w:val="single" w:sz="4" w:space="1" w:color="000000"/>
        </w:pBdr>
        <w:autoSpaceDE w:val="0"/>
        <w:jc w:val="center"/>
        <w:rPr>
          <w:rFonts w:asciiTheme="minorHAnsi" w:hAnsiTheme="minorHAnsi" w:cs="Arial"/>
          <w:b/>
          <w:bCs/>
          <w:sz w:val="24"/>
          <w:szCs w:val="24"/>
        </w:rPr>
      </w:pPr>
    </w:p>
    <w:p w:rsidR="00972FE1" w:rsidRPr="00935D73" w:rsidRDefault="00972FE1" w:rsidP="00972FE1">
      <w:pPr>
        <w:pBdr>
          <w:bottom w:val="single" w:sz="4" w:space="1" w:color="000000"/>
        </w:pBdr>
        <w:autoSpaceDE w:val="0"/>
        <w:rPr>
          <w:rFonts w:asciiTheme="minorHAnsi" w:hAnsiTheme="minorHAnsi" w:cs="Arial"/>
          <w:b/>
          <w:bCs/>
          <w:sz w:val="24"/>
          <w:szCs w:val="24"/>
        </w:rPr>
      </w:pPr>
      <w:r w:rsidRPr="00935D73">
        <w:rPr>
          <w:rFonts w:asciiTheme="minorHAnsi" w:hAnsiTheme="minorHAnsi" w:cs="Arial"/>
          <w:b/>
          <w:bCs/>
          <w:sz w:val="24"/>
          <w:szCs w:val="24"/>
        </w:rPr>
        <w:t>Telč,</w:t>
      </w:r>
      <w:r w:rsidR="00015E57" w:rsidRPr="00935D73">
        <w:rPr>
          <w:rFonts w:asciiTheme="minorHAnsi" w:hAnsiTheme="minorHAnsi" w:cs="Arial"/>
          <w:b/>
          <w:bCs/>
          <w:sz w:val="24"/>
          <w:szCs w:val="24"/>
        </w:rPr>
        <w:t xml:space="preserve"> </w:t>
      </w:r>
      <w:r w:rsidR="008964C1">
        <w:rPr>
          <w:rFonts w:asciiTheme="minorHAnsi" w:hAnsiTheme="minorHAnsi" w:cs="Arial"/>
          <w:b/>
          <w:bCs/>
          <w:sz w:val="24"/>
          <w:szCs w:val="24"/>
        </w:rPr>
        <w:t>30</w:t>
      </w:r>
      <w:r w:rsidR="00A02866" w:rsidRPr="00935D73">
        <w:rPr>
          <w:rFonts w:asciiTheme="minorHAnsi" w:hAnsiTheme="minorHAnsi" w:cs="Arial"/>
          <w:b/>
          <w:bCs/>
          <w:sz w:val="24"/>
          <w:szCs w:val="24"/>
        </w:rPr>
        <w:t>. prosince</w:t>
      </w:r>
      <w:r w:rsidR="009537C8" w:rsidRPr="00935D73">
        <w:rPr>
          <w:rFonts w:asciiTheme="minorHAnsi" w:hAnsiTheme="minorHAnsi" w:cs="Arial"/>
          <w:b/>
          <w:bCs/>
          <w:sz w:val="24"/>
          <w:szCs w:val="24"/>
        </w:rPr>
        <w:t xml:space="preserve"> </w:t>
      </w:r>
      <w:r w:rsidRPr="00935D73">
        <w:rPr>
          <w:rFonts w:asciiTheme="minorHAnsi" w:hAnsiTheme="minorHAnsi" w:cs="Arial"/>
          <w:b/>
          <w:bCs/>
          <w:sz w:val="24"/>
          <w:szCs w:val="24"/>
        </w:rPr>
        <w:t>2014</w:t>
      </w:r>
    </w:p>
    <w:p w:rsidR="00935D73" w:rsidRPr="00935D73" w:rsidRDefault="00935D73" w:rsidP="00772B4C">
      <w:pPr>
        <w:jc w:val="both"/>
        <w:rPr>
          <w:rFonts w:asciiTheme="minorHAnsi" w:hAnsiTheme="minorHAnsi"/>
          <w:i/>
          <w:sz w:val="24"/>
          <w:szCs w:val="24"/>
        </w:rPr>
      </w:pPr>
      <w:r w:rsidRPr="00935D73">
        <w:rPr>
          <w:rFonts w:asciiTheme="minorHAnsi" w:hAnsiTheme="minorHAnsi"/>
          <w:i/>
          <w:sz w:val="24"/>
          <w:szCs w:val="24"/>
        </w:rPr>
        <w:t xml:space="preserve">Téměř 570 žáků a studentů mělo možnost zapojit se do vzdělávacích programů, které proběhly v Edukačním centru v Telči i na několika památkových objektech NPÚ v Kraji Vysočina. Telčští památkáři zorganizovali také kurz </w:t>
      </w:r>
      <w:r w:rsidRPr="00935D73">
        <w:rPr>
          <w:rFonts w:asciiTheme="minorHAnsi" w:hAnsiTheme="minorHAnsi" w:cs="Arial"/>
          <w:bCs/>
          <w:i/>
          <w:sz w:val="24"/>
          <w:szCs w:val="24"/>
        </w:rPr>
        <w:t>Řemeslná obnova historických staveb</w:t>
      </w:r>
      <w:r w:rsidRPr="00935D73">
        <w:rPr>
          <w:rFonts w:asciiTheme="minorHAnsi" w:hAnsiTheme="minorHAnsi"/>
          <w:i/>
          <w:sz w:val="24"/>
          <w:szCs w:val="24"/>
        </w:rPr>
        <w:t xml:space="preserve"> pro zájemce z řad řemeslníků. Pomůže jim zvýšit si kvalifikaci, posílit konkurenceschopnost a rozšířit vědomosti. Navíc proběhla spousta přednášek pro veřejnost a </w:t>
      </w:r>
      <w:r w:rsidR="00BC2F65">
        <w:rPr>
          <w:rFonts w:asciiTheme="minorHAnsi" w:hAnsiTheme="minorHAnsi"/>
          <w:i/>
          <w:sz w:val="24"/>
          <w:szCs w:val="24"/>
        </w:rPr>
        <w:t xml:space="preserve">ve spolupráci s telčským pracovištěm NPÚ byly realizovány </w:t>
      </w:r>
      <w:r w:rsidRPr="00935D73">
        <w:rPr>
          <w:rFonts w:asciiTheme="minorHAnsi" w:hAnsiTheme="minorHAnsi"/>
          <w:i/>
          <w:sz w:val="24"/>
          <w:szCs w:val="24"/>
        </w:rPr>
        <w:t>památkové obnovy historických objektů.</w:t>
      </w:r>
    </w:p>
    <w:p w:rsidR="00935D73" w:rsidRPr="00935D73" w:rsidRDefault="00935D73" w:rsidP="00772B4C">
      <w:pPr>
        <w:jc w:val="both"/>
        <w:rPr>
          <w:rFonts w:asciiTheme="minorHAnsi" w:hAnsiTheme="minorHAnsi"/>
          <w:sz w:val="24"/>
          <w:szCs w:val="24"/>
        </w:rPr>
      </w:pPr>
    </w:p>
    <w:p w:rsidR="00935D73" w:rsidRPr="00935D73" w:rsidRDefault="00935D73" w:rsidP="00772B4C">
      <w:pPr>
        <w:jc w:val="both"/>
        <w:rPr>
          <w:rFonts w:asciiTheme="minorHAnsi" w:hAnsiTheme="minorHAnsi"/>
          <w:bCs/>
          <w:sz w:val="24"/>
          <w:szCs w:val="24"/>
        </w:rPr>
      </w:pPr>
      <w:r w:rsidRPr="00935D73">
        <w:rPr>
          <w:rFonts w:asciiTheme="minorHAnsi" w:hAnsiTheme="minorHAnsi"/>
          <w:sz w:val="24"/>
          <w:szCs w:val="24"/>
        </w:rPr>
        <w:t xml:space="preserve">V roce 2014 proběhla série vzdělávacích programů pro děti, studenty i dospělé jak v Edukačním centru v Telči, tak i na několika památkových objektech NPÚ v Kraji Vysočina. </w:t>
      </w:r>
      <w:r w:rsidRPr="00935D73">
        <w:rPr>
          <w:rFonts w:asciiTheme="minorHAnsi" w:hAnsiTheme="minorHAnsi"/>
          <w:bCs/>
          <w:sz w:val="24"/>
          <w:szCs w:val="24"/>
        </w:rPr>
        <w:t xml:space="preserve">Na projektech a programech s regionální koordinátorkou odborně nebo lektorsky spolupracovali pracovníci NPÚ </w:t>
      </w:r>
      <w:r w:rsidR="00AA1416">
        <w:rPr>
          <w:rFonts w:asciiTheme="minorHAnsi" w:hAnsiTheme="minorHAnsi"/>
          <w:bCs/>
          <w:sz w:val="24"/>
          <w:szCs w:val="24"/>
        </w:rPr>
        <w:t xml:space="preserve">z Telče a Českých </w:t>
      </w:r>
      <w:r w:rsidRPr="00935D73">
        <w:rPr>
          <w:rFonts w:asciiTheme="minorHAnsi" w:hAnsiTheme="minorHAnsi"/>
          <w:bCs/>
          <w:sz w:val="24"/>
          <w:szCs w:val="24"/>
        </w:rPr>
        <w:t xml:space="preserve">Budějovic. </w:t>
      </w:r>
      <w:r w:rsidRPr="00935D73">
        <w:rPr>
          <w:rFonts w:asciiTheme="minorHAnsi" w:hAnsiTheme="minorHAnsi"/>
          <w:sz w:val="24"/>
          <w:szCs w:val="24"/>
        </w:rPr>
        <w:t xml:space="preserve">V první polovině roku byl realizován dlouhodobý </w:t>
      </w:r>
      <w:r w:rsidRPr="00935D73">
        <w:rPr>
          <w:rFonts w:asciiTheme="minorHAnsi" w:hAnsiTheme="minorHAnsi"/>
          <w:b/>
          <w:sz w:val="24"/>
          <w:szCs w:val="24"/>
        </w:rPr>
        <w:t>pilotní projekt řetězového provázení</w:t>
      </w:r>
      <w:r w:rsidRPr="00935D73">
        <w:rPr>
          <w:rFonts w:asciiTheme="minorHAnsi" w:hAnsiTheme="minorHAnsi"/>
          <w:sz w:val="24"/>
          <w:szCs w:val="24"/>
        </w:rPr>
        <w:t xml:space="preserve"> na památkových objektech Kraje Vysočina. Pro řetězové provázení je příznačné, že na prohlídkové trase se ve výkladu střídá několik průvodců. Tato forma je velmi dobře využitelná v případě, že role průvodců je svěřena dětem. Cílem bylo zviditelnit význam historické památky pro místní komunitu a propojit výuku regionální historie na školách s osobní zkušeností žáků. Pro každý objekt byl zpracován specifický postup řetězového provázení, který vycházel z podmínek a charakteru objektu a z požadavků a možností škol. Na projektu se podílely </w:t>
      </w:r>
      <w:r w:rsidR="00562EFF">
        <w:rPr>
          <w:rFonts w:asciiTheme="minorHAnsi" w:hAnsiTheme="minorHAnsi"/>
          <w:sz w:val="24"/>
          <w:szCs w:val="24"/>
        </w:rPr>
        <w:t>S</w:t>
      </w:r>
      <w:r w:rsidR="008D4E97">
        <w:rPr>
          <w:rFonts w:asciiTheme="minorHAnsi" w:hAnsiTheme="minorHAnsi"/>
          <w:sz w:val="24"/>
          <w:szCs w:val="24"/>
        </w:rPr>
        <w:t xml:space="preserve">tátní zámek </w:t>
      </w:r>
      <w:r w:rsidRPr="00935D73">
        <w:rPr>
          <w:rFonts w:asciiTheme="minorHAnsi" w:hAnsiTheme="minorHAnsi"/>
          <w:sz w:val="24"/>
          <w:szCs w:val="24"/>
        </w:rPr>
        <w:t xml:space="preserve">Jaroměřice nad Rokytnou, </w:t>
      </w:r>
      <w:r w:rsidR="00562EFF">
        <w:rPr>
          <w:rFonts w:asciiTheme="minorHAnsi" w:hAnsiTheme="minorHAnsi"/>
          <w:sz w:val="24"/>
          <w:szCs w:val="24"/>
        </w:rPr>
        <w:t>S</w:t>
      </w:r>
      <w:r w:rsidR="008D4E97">
        <w:rPr>
          <w:rFonts w:asciiTheme="minorHAnsi" w:hAnsiTheme="minorHAnsi"/>
          <w:sz w:val="24"/>
          <w:szCs w:val="24"/>
        </w:rPr>
        <w:t xml:space="preserve">tátní zámek </w:t>
      </w:r>
      <w:r w:rsidRPr="00935D73">
        <w:rPr>
          <w:rFonts w:asciiTheme="minorHAnsi" w:hAnsiTheme="minorHAnsi"/>
          <w:sz w:val="24"/>
          <w:szCs w:val="24"/>
        </w:rPr>
        <w:t xml:space="preserve">Telč, </w:t>
      </w:r>
      <w:r w:rsidR="00562EFF">
        <w:rPr>
          <w:rFonts w:asciiTheme="minorHAnsi" w:hAnsiTheme="minorHAnsi"/>
          <w:sz w:val="24"/>
          <w:szCs w:val="24"/>
        </w:rPr>
        <w:t>S</w:t>
      </w:r>
      <w:r w:rsidR="008D4E97">
        <w:rPr>
          <w:rFonts w:asciiTheme="minorHAnsi" w:hAnsiTheme="minorHAnsi"/>
          <w:sz w:val="24"/>
          <w:szCs w:val="24"/>
        </w:rPr>
        <w:t>tátní hrad L</w:t>
      </w:r>
      <w:r w:rsidRPr="00935D73">
        <w:rPr>
          <w:rFonts w:asciiTheme="minorHAnsi" w:hAnsiTheme="minorHAnsi"/>
          <w:sz w:val="24"/>
          <w:szCs w:val="24"/>
        </w:rPr>
        <w:t xml:space="preserve">ipnice a </w:t>
      </w:r>
      <w:r w:rsidR="00562EFF">
        <w:rPr>
          <w:rFonts w:asciiTheme="minorHAnsi" w:hAnsiTheme="minorHAnsi"/>
          <w:sz w:val="24"/>
          <w:szCs w:val="24"/>
        </w:rPr>
        <w:t>S</w:t>
      </w:r>
      <w:r w:rsidR="008D4E97">
        <w:rPr>
          <w:rFonts w:asciiTheme="minorHAnsi" w:hAnsiTheme="minorHAnsi"/>
          <w:sz w:val="24"/>
          <w:szCs w:val="24"/>
        </w:rPr>
        <w:t>tátní zámek</w:t>
      </w:r>
      <w:r w:rsidRPr="00935D73">
        <w:rPr>
          <w:rFonts w:asciiTheme="minorHAnsi" w:hAnsiTheme="minorHAnsi"/>
          <w:sz w:val="24"/>
          <w:szCs w:val="24"/>
        </w:rPr>
        <w:t xml:space="preserve"> Náměšť nad Oslavou</w:t>
      </w:r>
      <w:r w:rsidR="00D64D65">
        <w:rPr>
          <w:rFonts w:asciiTheme="minorHAnsi" w:hAnsiTheme="minorHAnsi"/>
          <w:sz w:val="24"/>
          <w:szCs w:val="24"/>
        </w:rPr>
        <w:t>.</w:t>
      </w:r>
      <w:r w:rsidRPr="00935D73">
        <w:rPr>
          <w:rFonts w:asciiTheme="minorHAnsi" w:hAnsiTheme="minorHAnsi"/>
          <w:bCs/>
          <w:sz w:val="24"/>
          <w:szCs w:val="24"/>
        </w:rPr>
        <w:t xml:space="preserve"> </w:t>
      </w:r>
    </w:p>
    <w:p w:rsidR="00935D73" w:rsidRPr="00935D73" w:rsidRDefault="00935D73" w:rsidP="00772B4C">
      <w:pPr>
        <w:jc w:val="both"/>
        <w:rPr>
          <w:rFonts w:asciiTheme="minorHAnsi" w:hAnsiTheme="minorHAnsi"/>
          <w:bCs/>
          <w:sz w:val="24"/>
          <w:szCs w:val="24"/>
        </w:rPr>
      </w:pPr>
      <w:r>
        <w:rPr>
          <w:rFonts w:asciiTheme="minorHAnsi" w:hAnsiTheme="minorHAnsi"/>
          <w:bCs/>
          <w:sz w:val="24"/>
          <w:szCs w:val="24"/>
        </w:rPr>
        <w:t>P</w:t>
      </w:r>
      <w:r w:rsidRPr="00935D73">
        <w:rPr>
          <w:rFonts w:asciiTheme="minorHAnsi" w:hAnsiTheme="minorHAnsi"/>
          <w:bCs/>
          <w:sz w:val="24"/>
          <w:szCs w:val="24"/>
        </w:rPr>
        <w:t xml:space="preserve">odařilo </w:t>
      </w:r>
      <w:r w:rsidR="008964C1">
        <w:rPr>
          <w:rFonts w:asciiTheme="minorHAnsi" w:hAnsiTheme="minorHAnsi"/>
          <w:bCs/>
          <w:sz w:val="24"/>
          <w:szCs w:val="24"/>
        </w:rPr>
        <w:t xml:space="preserve">se </w:t>
      </w:r>
      <w:r w:rsidR="00B220C2">
        <w:rPr>
          <w:rFonts w:asciiTheme="minorHAnsi" w:hAnsiTheme="minorHAnsi"/>
          <w:bCs/>
          <w:sz w:val="24"/>
          <w:szCs w:val="24"/>
        </w:rPr>
        <w:t xml:space="preserve">také </w:t>
      </w:r>
      <w:r w:rsidRPr="00935D73">
        <w:rPr>
          <w:rFonts w:asciiTheme="minorHAnsi" w:hAnsiTheme="minorHAnsi"/>
          <w:bCs/>
          <w:sz w:val="24"/>
          <w:szCs w:val="24"/>
        </w:rPr>
        <w:t xml:space="preserve">rozšířit nabídku vzdělávacích programů pro školy v návaznosti na poptávku učitelů základní školy a víceletého gymnázia. Vznikl např. program tematicky zaměřený na technické památky s přesahem do výuky fyziky a program na délkové míry zařazený školami do výuky matematiky. Zájem byl </w:t>
      </w:r>
      <w:r w:rsidR="00590216">
        <w:rPr>
          <w:rFonts w:asciiTheme="minorHAnsi" w:hAnsiTheme="minorHAnsi"/>
          <w:bCs/>
          <w:sz w:val="24"/>
          <w:szCs w:val="24"/>
        </w:rPr>
        <w:t>i</w:t>
      </w:r>
      <w:r w:rsidRPr="00935D73">
        <w:rPr>
          <w:rFonts w:asciiTheme="minorHAnsi" w:hAnsiTheme="minorHAnsi"/>
          <w:bCs/>
          <w:sz w:val="24"/>
          <w:szCs w:val="24"/>
        </w:rPr>
        <w:t xml:space="preserve"> o programy založené na praktických dílnách (např. program o archeologii a architektuře) nebo program s přírodovědným zaměřením (Čtyři roční období). Projektem určeným žákům gymnázia byl </w:t>
      </w:r>
      <w:r w:rsidRPr="00935D73">
        <w:rPr>
          <w:rFonts w:asciiTheme="minorHAnsi" w:hAnsiTheme="minorHAnsi"/>
          <w:b/>
          <w:bCs/>
          <w:sz w:val="24"/>
          <w:szCs w:val="24"/>
        </w:rPr>
        <w:t>projekt Edvard Beneš na Moravě</w:t>
      </w:r>
      <w:r w:rsidRPr="00935D73">
        <w:rPr>
          <w:rFonts w:asciiTheme="minorHAnsi" w:hAnsiTheme="minorHAnsi"/>
          <w:bCs/>
          <w:sz w:val="24"/>
          <w:szCs w:val="24"/>
        </w:rPr>
        <w:t xml:space="preserve">. Ve spolupráci s Gymnáziem v Moravských Budějovicích se podařilo vytvořit pro dvě studentky gymnázia podmínky pro jejich badatelskou činnost. Pod vedením odborných pracovníků NPÚ studentky navštívily několik paměťových institucí (včetně Archivu Kanceláře prezidenta republiky) a výsledky svého bádání zpracovali ve formě písemné práce. Tu pak veřejně prezentovali v sídle NPÚ ÚOP v Telči a také Vlastivědnému spolku v Náměšti nad Oslavou. </w:t>
      </w:r>
    </w:p>
    <w:p w:rsidR="00935D73" w:rsidRPr="00935D73" w:rsidRDefault="00935D73" w:rsidP="00772B4C">
      <w:pPr>
        <w:jc w:val="both"/>
        <w:rPr>
          <w:rFonts w:asciiTheme="minorHAnsi" w:hAnsiTheme="minorHAnsi"/>
          <w:sz w:val="24"/>
          <w:szCs w:val="24"/>
        </w:rPr>
      </w:pPr>
      <w:r w:rsidRPr="00935D73">
        <w:rPr>
          <w:rFonts w:asciiTheme="minorHAnsi" w:hAnsiTheme="minorHAnsi"/>
          <w:bCs/>
          <w:sz w:val="24"/>
          <w:szCs w:val="24"/>
        </w:rPr>
        <w:t xml:space="preserve">Ojedinělým byl program </w:t>
      </w:r>
      <w:r w:rsidRPr="00935D73">
        <w:rPr>
          <w:rFonts w:asciiTheme="minorHAnsi" w:hAnsiTheme="minorHAnsi"/>
          <w:b/>
          <w:bCs/>
          <w:sz w:val="24"/>
          <w:szCs w:val="24"/>
        </w:rPr>
        <w:t>„Dotkněte se středověku“</w:t>
      </w:r>
      <w:r w:rsidRPr="00935D73">
        <w:rPr>
          <w:rFonts w:asciiTheme="minorHAnsi" w:hAnsiTheme="minorHAnsi"/>
          <w:bCs/>
          <w:sz w:val="24"/>
          <w:szCs w:val="24"/>
        </w:rPr>
        <w:t xml:space="preserve"> pro Výchovný ústav v Jindřichově Hradci a pro </w:t>
      </w:r>
      <w:r w:rsidRPr="00935D73">
        <w:rPr>
          <w:rFonts w:asciiTheme="minorHAnsi" w:hAnsiTheme="minorHAnsi" w:cs="Arial"/>
          <w:color w:val="000000"/>
          <w:sz w:val="24"/>
          <w:szCs w:val="24"/>
          <w:shd w:val="clear" w:color="auto" w:fill="FFFFFF"/>
        </w:rPr>
        <w:t>sdružení LORM z Jindřichova Hradce. Byl založený především na přímém kontaktu účastníků s replikami předmětů denní potřeby středověkého člověka a setkal</w:t>
      </w:r>
      <w:r w:rsidR="00590216">
        <w:rPr>
          <w:rFonts w:asciiTheme="minorHAnsi" w:hAnsiTheme="minorHAnsi" w:cs="Arial"/>
          <w:color w:val="000000"/>
          <w:sz w:val="24"/>
          <w:szCs w:val="24"/>
          <w:shd w:val="clear" w:color="auto" w:fill="FFFFFF"/>
        </w:rPr>
        <w:t xml:space="preserve"> se</w:t>
      </w:r>
      <w:r w:rsidRPr="00935D73">
        <w:rPr>
          <w:rFonts w:asciiTheme="minorHAnsi" w:hAnsiTheme="minorHAnsi" w:cs="Arial"/>
          <w:color w:val="000000"/>
          <w:sz w:val="24"/>
          <w:szCs w:val="24"/>
          <w:shd w:val="clear" w:color="auto" w:fill="FFFFFF"/>
        </w:rPr>
        <w:t xml:space="preserve"> u obou skupin s mimořádným ohlasem. V oblasti práce s osobami se specifickými potřebami se podařilo navázat spolupráci s Pražskou organizací vozíčkářů. Došlo ke zmapování přístupnosti památkových objektů pro osoby se sníženou mobilitou a na základě získaných poznatků dokáží koordinátoři edukačních programů lépe rozeznat potřeby osob na vozíčku, s holemi, s dětskými kočárky apod. a přizpůsobit tomu podmínky nebo vzdělávací program. </w:t>
      </w:r>
    </w:p>
    <w:p w:rsidR="00D64D65" w:rsidRDefault="00D64D65" w:rsidP="00772B4C">
      <w:pPr>
        <w:jc w:val="both"/>
        <w:rPr>
          <w:rFonts w:asciiTheme="minorHAnsi" w:hAnsiTheme="minorHAnsi"/>
          <w:b/>
          <w:bCs/>
          <w:sz w:val="24"/>
          <w:szCs w:val="24"/>
        </w:rPr>
      </w:pPr>
    </w:p>
    <w:p w:rsidR="00116173" w:rsidRDefault="00116173" w:rsidP="00772B4C">
      <w:pPr>
        <w:jc w:val="both"/>
        <w:rPr>
          <w:rFonts w:asciiTheme="minorHAnsi" w:hAnsiTheme="minorHAnsi"/>
          <w:b/>
          <w:bCs/>
          <w:sz w:val="24"/>
          <w:szCs w:val="24"/>
        </w:rPr>
      </w:pPr>
    </w:p>
    <w:p w:rsidR="00935D73" w:rsidRPr="00935D73" w:rsidRDefault="00935D73" w:rsidP="00772B4C">
      <w:pPr>
        <w:jc w:val="both"/>
        <w:rPr>
          <w:rFonts w:asciiTheme="minorHAnsi" w:hAnsiTheme="minorHAnsi"/>
          <w:b/>
          <w:sz w:val="24"/>
          <w:szCs w:val="24"/>
        </w:rPr>
      </w:pPr>
      <w:r w:rsidRPr="00935D73">
        <w:rPr>
          <w:rFonts w:asciiTheme="minorHAnsi" w:hAnsiTheme="minorHAnsi"/>
          <w:b/>
          <w:bCs/>
          <w:sz w:val="24"/>
          <w:szCs w:val="24"/>
        </w:rPr>
        <w:lastRenderedPageBreak/>
        <w:t xml:space="preserve">Vzdělávání dospělých? </w:t>
      </w:r>
    </w:p>
    <w:p w:rsidR="00935D73" w:rsidRPr="00935D73" w:rsidRDefault="00935D73" w:rsidP="00772B4C">
      <w:pPr>
        <w:adjustRightInd w:val="0"/>
        <w:jc w:val="both"/>
        <w:rPr>
          <w:rFonts w:asciiTheme="minorHAnsi" w:hAnsiTheme="minorHAnsi" w:cs="Arial"/>
          <w:sz w:val="24"/>
          <w:szCs w:val="24"/>
        </w:rPr>
      </w:pPr>
      <w:r w:rsidRPr="00935D73">
        <w:rPr>
          <w:rFonts w:asciiTheme="minorHAnsi" w:hAnsiTheme="minorHAnsi" w:cs="Arial"/>
          <w:sz w:val="24"/>
          <w:szCs w:val="24"/>
        </w:rPr>
        <w:t xml:space="preserve">Posílit konkurenceschopnost a zajistit kvalifikované řemeslníky a odborníky ovládající specifický soubor řemeslných postupů a odborníky s patřičným přehledem a citem pro památkovou obnovu měl za úkol vzdělávací program </w:t>
      </w:r>
      <w:r w:rsidRPr="00935D73">
        <w:rPr>
          <w:rFonts w:asciiTheme="minorHAnsi" w:hAnsiTheme="minorHAnsi" w:cs="Arial"/>
          <w:b/>
          <w:bCs/>
          <w:sz w:val="24"/>
          <w:szCs w:val="24"/>
        </w:rPr>
        <w:t>„Řemeslná obnova historických staveb“</w:t>
      </w:r>
      <w:r w:rsidRPr="00935D73">
        <w:rPr>
          <w:rFonts w:asciiTheme="minorHAnsi" w:hAnsiTheme="minorHAnsi" w:cs="Arial"/>
          <w:b/>
          <w:sz w:val="24"/>
          <w:szCs w:val="24"/>
        </w:rPr>
        <w:t xml:space="preserve">.  </w:t>
      </w:r>
    </w:p>
    <w:p w:rsidR="00935D73" w:rsidRPr="00935D73" w:rsidRDefault="00935D73" w:rsidP="00772B4C">
      <w:pPr>
        <w:tabs>
          <w:tab w:val="left" w:pos="4111"/>
        </w:tabs>
        <w:jc w:val="both"/>
        <w:rPr>
          <w:rFonts w:asciiTheme="minorHAnsi" w:hAnsiTheme="minorHAnsi" w:cs="Arial"/>
          <w:sz w:val="24"/>
          <w:szCs w:val="24"/>
        </w:rPr>
      </w:pPr>
      <w:r w:rsidRPr="00935D73">
        <w:rPr>
          <w:rFonts w:asciiTheme="minorHAnsi" w:hAnsiTheme="minorHAnsi" w:cs="Arial"/>
          <w:sz w:val="24"/>
          <w:szCs w:val="24"/>
        </w:rPr>
        <w:t>Slavnostní ukončení pilotního ověření vzdělávacího programu proběhlo v říjnu 2014 v</w:t>
      </w:r>
      <w:r w:rsidRPr="00935D73">
        <w:rPr>
          <w:rFonts w:asciiTheme="minorHAnsi" w:hAnsiTheme="minorHAnsi" w:cs="Arial"/>
          <w:bCs/>
          <w:sz w:val="24"/>
          <w:szCs w:val="24"/>
        </w:rPr>
        <w:t xml:space="preserve"> sídle NPÚ ÚOP v Telči. Pilotní běh úspěšně absolvovalo na osmdesát účastníků. Po vyhodnocení budou další běhy kurzů připraveny pro příští a následující roky. </w:t>
      </w:r>
      <w:r w:rsidRPr="00935D73">
        <w:rPr>
          <w:rFonts w:asciiTheme="minorHAnsi" w:hAnsiTheme="minorHAnsi" w:cs="Arial"/>
          <w:sz w:val="24"/>
          <w:szCs w:val="24"/>
        </w:rPr>
        <w:t xml:space="preserve">Program probíhal od jara 2014 a sestával z devíti kurzů, každý se stovkou hodin výuky. Ta zahrnovala jak teoretické přednášky, tak praktické semináře.  Zatímco bloky teoretických předmětů se konaly v sídle NPÚ ÚOP v Telči, praktická část pilotní výuky proběhla mimo jiné na ohrožených památkách na zámcích v Brtnici, Polici a v Uherčicích. Částečně byly k praktické výuce využity také dílenské prostory spolupracujících subjektů Střední školy stavební v Jihlavě a Kamenosochařského střediska v Lipnici nad Sázavou. </w:t>
      </w:r>
      <w:r w:rsidRPr="00935D73">
        <w:rPr>
          <w:rFonts w:asciiTheme="minorHAnsi" w:hAnsiTheme="minorHAnsi" w:cs="Arial"/>
          <w:sz w:val="24"/>
          <w:szCs w:val="24"/>
        </w:rPr>
        <w:br/>
      </w:r>
      <w:r w:rsidRPr="00935D73">
        <w:rPr>
          <w:rFonts w:asciiTheme="minorHAnsi" w:hAnsiTheme="minorHAnsi"/>
          <w:bCs/>
          <w:sz w:val="24"/>
          <w:szCs w:val="24"/>
        </w:rPr>
        <w:t xml:space="preserve">Dlouhodobým projektem zaměřeným na vzdělávání pedagogických pracovníků je </w:t>
      </w:r>
      <w:r w:rsidRPr="00D64D65">
        <w:rPr>
          <w:rFonts w:asciiTheme="minorHAnsi" w:hAnsiTheme="minorHAnsi"/>
          <w:bCs/>
          <w:sz w:val="24"/>
          <w:szCs w:val="24"/>
        </w:rPr>
        <w:t>akreditovaný seminář pro pedagogy</w:t>
      </w:r>
      <w:r w:rsidRPr="00935D73">
        <w:rPr>
          <w:rFonts w:asciiTheme="minorHAnsi" w:hAnsiTheme="minorHAnsi"/>
          <w:b/>
          <w:bCs/>
          <w:sz w:val="24"/>
          <w:szCs w:val="24"/>
        </w:rPr>
        <w:t xml:space="preserve"> „Když se řekne klášter“.</w:t>
      </w:r>
      <w:r w:rsidRPr="00935D73">
        <w:rPr>
          <w:rFonts w:asciiTheme="minorHAnsi" w:hAnsiTheme="minorHAnsi"/>
          <w:bCs/>
          <w:sz w:val="24"/>
          <w:szCs w:val="24"/>
        </w:rPr>
        <w:t xml:space="preserve"> Propojení přednáškové části s exkurzí získalo u pedagogů velmi kladnou odezvu, jako místo konání byl zvolen Klášter Plasy a Velehrad.</w:t>
      </w:r>
    </w:p>
    <w:p w:rsidR="00935D73" w:rsidRPr="00935D73" w:rsidRDefault="00935D73" w:rsidP="00772B4C">
      <w:pPr>
        <w:tabs>
          <w:tab w:val="left" w:pos="4111"/>
        </w:tabs>
        <w:jc w:val="both"/>
        <w:rPr>
          <w:rFonts w:asciiTheme="minorHAnsi" w:hAnsiTheme="minorHAnsi" w:cs="Arial"/>
          <w:sz w:val="24"/>
          <w:szCs w:val="24"/>
        </w:rPr>
      </w:pPr>
    </w:p>
    <w:p w:rsidR="00116173" w:rsidRDefault="00935D73" w:rsidP="00116173">
      <w:pPr>
        <w:jc w:val="both"/>
        <w:rPr>
          <w:rFonts w:asciiTheme="minorHAnsi" w:hAnsiTheme="minorHAnsi"/>
          <w:b/>
          <w:sz w:val="24"/>
          <w:szCs w:val="24"/>
        </w:rPr>
      </w:pPr>
      <w:r w:rsidRPr="00935D73">
        <w:rPr>
          <w:rFonts w:asciiTheme="minorHAnsi" w:hAnsiTheme="minorHAnsi"/>
          <w:b/>
          <w:sz w:val="24"/>
          <w:szCs w:val="24"/>
        </w:rPr>
        <w:t xml:space="preserve">Ve spolupráci s NPÚ ÚOP v Telči probíhaly obnovy kulturních památek. </w:t>
      </w:r>
    </w:p>
    <w:p w:rsidR="00935D73" w:rsidRPr="00935D73" w:rsidRDefault="00935D73" w:rsidP="00116173">
      <w:pPr>
        <w:jc w:val="both"/>
        <w:rPr>
          <w:rFonts w:asciiTheme="minorHAnsi" w:hAnsiTheme="minorHAnsi"/>
          <w:color w:val="000000"/>
          <w:sz w:val="24"/>
          <w:szCs w:val="24"/>
        </w:rPr>
      </w:pPr>
      <w:r w:rsidRPr="00935D73">
        <w:rPr>
          <w:rFonts w:asciiTheme="minorHAnsi" w:hAnsiTheme="minorHAnsi"/>
          <w:sz w:val="24"/>
          <w:szCs w:val="24"/>
        </w:rPr>
        <w:t>Za zdařilé jmenujme dva příklady</w:t>
      </w:r>
      <w:r w:rsidR="00116173">
        <w:rPr>
          <w:rFonts w:asciiTheme="minorHAnsi" w:hAnsiTheme="minorHAnsi"/>
          <w:sz w:val="24"/>
          <w:szCs w:val="24"/>
        </w:rPr>
        <w:t xml:space="preserve"> </w:t>
      </w:r>
      <w:r w:rsidRPr="00935D73">
        <w:rPr>
          <w:rFonts w:asciiTheme="minorHAnsi" w:hAnsiTheme="minorHAnsi"/>
          <w:sz w:val="24"/>
          <w:szCs w:val="24"/>
        </w:rPr>
        <w:t>z mnoha.</w:t>
      </w:r>
      <w:r w:rsidRPr="00935D73">
        <w:rPr>
          <w:rFonts w:asciiTheme="minorHAnsi" w:hAnsiTheme="minorHAnsi"/>
          <w:sz w:val="24"/>
          <w:szCs w:val="24"/>
        </w:rPr>
        <w:br/>
        <w:t>V roce 2014 byla ukončena kompletní obnova a adaptace židovského domu čp. 10 v Třebíči – Zámostí. Dům je součástí místní židovské čtvrti zapsané na Seznamu světového kulturního a přírodního dědictví UNESCO. Stavba strohého zevnějšku, ale překvapivého interiéru figuruje od roku 2010 mezi kulturními památkami. Rozsáhlá rekonstrukce proběhla mezi lety 2012 až 2014 za finanční podpory programů Ministerstva kultury ČR a Kraje Vysočina.</w:t>
      </w:r>
      <w:r w:rsidRPr="00935D73">
        <w:rPr>
          <w:rFonts w:asciiTheme="minorHAnsi" w:hAnsiTheme="minorHAnsi"/>
          <w:sz w:val="24"/>
          <w:szCs w:val="24"/>
        </w:rPr>
        <w:br/>
        <w:t xml:space="preserve">Majitelé, kteří dům v neuspokojivém technickém stavu získali, zaujali výjimečně vstřícný postoj opravit jej pro komerční využití s maximálním respektem k dochovaným památkovým hodnotám. Dlouhodobě nevyužitý objekt trápily rozsáhlé statické poruchy zdiva a kleneb, dožívající krytina, vlhkost a celková sešlost povrchů i ostatních stavebních článků. Druhou oblast závad představovalo technické chování konstrukcí a architektonické působení stavby. Překvapení přineslo čištění omítek v patře, které odkryly množství šablonových výmaleb z počátku 20. století s florálními a folklorními motivy. </w:t>
      </w:r>
      <w:r w:rsidRPr="00935D73">
        <w:rPr>
          <w:rFonts w:asciiTheme="minorHAnsi" w:hAnsiTheme="minorHAnsi"/>
          <w:color w:val="000000"/>
          <w:sz w:val="24"/>
          <w:szCs w:val="24"/>
        </w:rPr>
        <w:t>V současnosti je přízemí upraveno pro potřeby kavárny, v patře se nachází bytová jednotka.</w:t>
      </w:r>
    </w:p>
    <w:p w:rsidR="00935D73" w:rsidRPr="00935D73" w:rsidRDefault="00935D73" w:rsidP="00116173">
      <w:pPr>
        <w:jc w:val="both"/>
        <w:rPr>
          <w:rFonts w:asciiTheme="minorHAnsi" w:eastAsiaTheme="minorHAnsi" w:hAnsiTheme="minorHAnsi"/>
          <w:sz w:val="24"/>
          <w:szCs w:val="24"/>
        </w:rPr>
      </w:pPr>
      <w:r w:rsidRPr="00935D73">
        <w:rPr>
          <w:rFonts w:asciiTheme="minorHAnsi" w:hAnsiTheme="minorHAnsi"/>
          <w:sz w:val="24"/>
          <w:szCs w:val="24"/>
        </w:rPr>
        <w:t xml:space="preserve">Opravoval se také zámek Velké Meziříčí.  S vysokou umělecko-řemeslnou kvalitou proběhla v roce 2014 rozsáhlá obnova vnějšího pláště vstupní věže a přiléhajícího nárožního </w:t>
      </w:r>
      <w:r w:rsidR="00B3275C">
        <w:rPr>
          <w:rFonts w:asciiTheme="minorHAnsi" w:hAnsiTheme="minorHAnsi"/>
          <w:sz w:val="24"/>
          <w:szCs w:val="24"/>
        </w:rPr>
        <w:t>ro</w:t>
      </w:r>
      <w:r w:rsidRPr="00935D73">
        <w:rPr>
          <w:rFonts w:asciiTheme="minorHAnsi" w:hAnsiTheme="minorHAnsi"/>
          <w:sz w:val="24"/>
          <w:szCs w:val="24"/>
        </w:rPr>
        <w:t>ndelu.  </w:t>
      </w:r>
      <w:r w:rsidR="00B3275C">
        <w:rPr>
          <w:rFonts w:asciiTheme="minorHAnsi" w:hAnsiTheme="minorHAnsi"/>
          <w:sz w:val="24"/>
          <w:szCs w:val="24"/>
        </w:rPr>
        <w:t xml:space="preserve">V </w:t>
      </w:r>
      <w:r w:rsidRPr="00935D73">
        <w:rPr>
          <w:rFonts w:asciiTheme="minorHAnsi" w:hAnsiTheme="minorHAnsi"/>
          <w:sz w:val="24"/>
          <w:szCs w:val="24"/>
        </w:rPr>
        <w:t xml:space="preserve">novogotickém duchu byla opravena navazující jižní fasáda obytné věže. </w:t>
      </w:r>
    </w:p>
    <w:p w:rsidR="00935D73" w:rsidRPr="00935D73" w:rsidRDefault="00935D73" w:rsidP="00772B4C">
      <w:pPr>
        <w:jc w:val="both"/>
        <w:rPr>
          <w:rFonts w:asciiTheme="minorHAnsi" w:hAnsiTheme="minorHAnsi"/>
          <w:b/>
          <w:sz w:val="24"/>
          <w:szCs w:val="24"/>
        </w:rPr>
      </w:pPr>
    </w:p>
    <w:p w:rsidR="00935D73" w:rsidRPr="00935D73" w:rsidRDefault="00935D73" w:rsidP="00772B4C">
      <w:pPr>
        <w:jc w:val="both"/>
        <w:rPr>
          <w:rFonts w:asciiTheme="minorHAnsi" w:hAnsiTheme="minorHAnsi"/>
          <w:b/>
          <w:sz w:val="24"/>
          <w:szCs w:val="24"/>
        </w:rPr>
      </w:pPr>
      <w:r w:rsidRPr="00935D73">
        <w:rPr>
          <w:rFonts w:asciiTheme="minorHAnsi" w:hAnsiTheme="minorHAnsi"/>
          <w:b/>
          <w:sz w:val="24"/>
          <w:szCs w:val="24"/>
        </w:rPr>
        <w:t>Přednášková činnost</w:t>
      </w:r>
    </w:p>
    <w:p w:rsidR="00935D73" w:rsidRPr="00935D73" w:rsidRDefault="00935D73" w:rsidP="00772B4C">
      <w:pPr>
        <w:jc w:val="both"/>
        <w:rPr>
          <w:rFonts w:asciiTheme="minorHAnsi" w:hAnsiTheme="minorHAnsi"/>
          <w:sz w:val="24"/>
          <w:szCs w:val="24"/>
        </w:rPr>
      </w:pPr>
      <w:r w:rsidRPr="00935D73">
        <w:rPr>
          <w:rFonts w:asciiTheme="minorHAnsi" w:hAnsiTheme="minorHAnsi"/>
          <w:sz w:val="24"/>
          <w:szCs w:val="24"/>
        </w:rPr>
        <w:t>Telčské pracoviště NPÚ nezahálelo ani v oblasti přednáškové činnosti. Již šestým rokem proběhl přednáškový cyklus Rodinné stříbro – Památky kolem nás.</w:t>
      </w:r>
      <w:r w:rsidRPr="00935D73">
        <w:rPr>
          <w:rFonts w:asciiTheme="minorHAnsi" w:hAnsiTheme="minorHAnsi"/>
          <w:b/>
          <w:sz w:val="24"/>
          <w:szCs w:val="24"/>
        </w:rPr>
        <w:t xml:space="preserve"> </w:t>
      </w:r>
      <w:r w:rsidRPr="00935D73">
        <w:rPr>
          <w:rFonts w:asciiTheme="minorHAnsi" w:hAnsiTheme="minorHAnsi"/>
          <w:sz w:val="24"/>
          <w:szCs w:val="24"/>
        </w:rPr>
        <w:t>Jeho součástí jsou nejen problematika péče o kulturní památky, ale také zajímavá témata z historie. Přednášky se konaly v Univerzitním centru Masarykovy univerzity v Telči. Pracovníci telčského pracoviště NPÚ se podíleli i na další přednáškové činnosti – např. v rámci výstavy S mečem a štítem</w:t>
      </w:r>
      <w:r w:rsidR="00CE7DBE">
        <w:rPr>
          <w:rFonts w:asciiTheme="minorHAnsi" w:hAnsiTheme="minorHAnsi"/>
          <w:sz w:val="24"/>
          <w:szCs w:val="24"/>
        </w:rPr>
        <w:t xml:space="preserve"> </w:t>
      </w:r>
      <w:r w:rsidR="00CE7DBE" w:rsidRPr="00935D73">
        <w:rPr>
          <w:rFonts w:asciiTheme="minorHAnsi" w:hAnsiTheme="minorHAnsi"/>
          <w:sz w:val="24"/>
          <w:szCs w:val="24"/>
        </w:rPr>
        <w:t>–</w:t>
      </w:r>
      <w:r w:rsidRPr="00935D73">
        <w:rPr>
          <w:rFonts w:asciiTheme="minorHAnsi" w:hAnsiTheme="minorHAnsi"/>
          <w:sz w:val="24"/>
          <w:szCs w:val="24"/>
        </w:rPr>
        <w:t xml:space="preserve"> Vojenství středověku na Českomoravské vrchovině (Muzeum Vysočiny Jihlava), na přednáškách pro Muzejní spolek v Jemnici, a také na přednáškách na mezinárodní úrovni, které byly určeny odborníkům z německého Wiesbadenu a rakouské university v </w:t>
      </w:r>
      <w:proofErr w:type="spellStart"/>
      <w:r w:rsidRPr="00935D73">
        <w:rPr>
          <w:rFonts w:asciiTheme="minorHAnsi" w:hAnsiTheme="minorHAnsi"/>
          <w:sz w:val="24"/>
          <w:szCs w:val="24"/>
        </w:rPr>
        <w:t>Krems</w:t>
      </w:r>
      <w:proofErr w:type="spellEnd"/>
      <w:r w:rsidRPr="00935D73">
        <w:rPr>
          <w:rFonts w:asciiTheme="minorHAnsi" w:hAnsiTheme="minorHAnsi"/>
          <w:sz w:val="24"/>
          <w:szCs w:val="24"/>
        </w:rPr>
        <w:t>. Významným byl rovněž metodický den s názvem Historické varhany a seminář PhDr. Petra Koukala, Ph.D. na téma O restaurování zvuku varhan.</w:t>
      </w:r>
    </w:p>
    <w:p w:rsidR="00935D73" w:rsidRPr="00935D73" w:rsidRDefault="00935D73" w:rsidP="00772B4C">
      <w:pPr>
        <w:jc w:val="both"/>
        <w:rPr>
          <w:rFonts w:asciiTheme="minorHAnsi" w:hAnsiTheme="minorHAnsi"/>
          <w:sz w:val="24"/>
          <w:szCs w:val="24"/>
        </w:rPr>
      </w:pPr>
      <w:r w:rsidRPr="00935D73">
        <w:rPr>
          <w:rFonts w:asciiTheme="minorHAnsi" w:hAnsiTheme="minorHAnsi"/>
          <w:b/>
          <w:sz w:val="24"/>
          <w:szCs w:val="24"/>
        </w:rPr>
        <w:t>Své aktivity rozvíjelo územní odborné pracoviště NPÚ v Telči také na mezinárodním poli.</w:t>
      </w:r>
      <w:r w:rsidRPr="00935D73">
        <w:rPr>
          <w:rFonts w:asciiTheme="minorHAnsi" w:hAnsiTheme="minorHAnsi"/>
          <w:sz w:val="24"/>
          <w:szCs w:val="24"/>
        </w:rPr>
        <w:t xml:space="preserve"> V červnu 2014 proběhla v Telči Mezinárodní letní škola o kulturním dědictví. Akci pořádala Pedagogická fakulta Univerzity Karlovy ve spolupráci s Pedagogickou fakultou Univerzity Mateje Bela z Banské Bystrice a Fakultou humanitních studií Univerzity </w:t>
      </w:r>
      <w:proofErr w:type="spellStart"/>
      <w:r w:rsidRPr="00935D73">
        <w:rPr>
          <w:rFonts w:asciiTheme="minorHAnsi" w:hAnsiTheme="minorHAnsi"/>
          <w:sz w:val="24"/>
          <w:szCs w:val="24"/>
        </w:rPr>
        <w:t>Primorska</w:t>
      </w:r>
      <w:proofErr w:type="spellEnd"/>
      <w:r w:rsidRPr="00935D73">
        <w:rPr>
          <w:rFonts w:asciiTheme="minorHAnsi" w:hAnsiTheme="minorHAnsi"/>
          <w:sz w:val="24"/>
          <w:szCs w:val="24"/>
        </w:rPr>
        <w:t xml:space="preserve"> ze slovinského </w:t>
      </w:r>
      <w:proofErr w:type="spellStart"/>
      <w:r w:rsidRPr="00935D73">
        <w:rPr>
          <w:rFonts w:asciiTheme="minorHAnsi" w:hAnsiTheme="minorHAnsi"/>
          <w:sz w:val="24"/>
          <w:szCs w:val="24"/>
        </w:rPr>
        <w:t>Koperu</w:t>
      </w:r>
      <w:proofErr w:type="spellEnd"/>
      <w:r w:rsidRPr="00935D73">
        <w:rPr>
          <w:rFonts w:asciiTheme="minorHAnsi" w:hAnsiTheme="minorHAnsi"/>
          <w:sz w:val="24"/>
          <w:szCs w:val="24"/>
        </w:rPr>
        <w:t xml:space="preserve">. Na zajištění </w:t>
      </w:r>
      <w:r w:rsidRPr="00935D73">
        <w:rPr>
          <w:rFonts w:asciiTheme="minorHAnsi" w:hAnsiTheme="minorHAnsi"/>
          <w:sz w:val="24"/>
          <w:szCs w:val="24"/>
        </w:rPr>
        <w:lastRenderedPageBreak/>
        <w:t xml:space="preserve">programu se podílela také řada odborníků z Národního památkového ústavu v čele s územním odborným pracovištěm v Telči. </w:t>
      </w:r>
    </w:p>
    <w:p w:rsidR="00935D73" w:rsidRPr="00935D73" w:rsidRDefault="00935D73" w:rsidP="00772B4C">
      <w:pPr>
        <w:jc w:val="both"/>
        <w:rPr>
          <w:rFonts w:asciiTheme="minorHAnsi" w:eastAsiaTheme="minorHAnsi" w:hAnsiTheme="minorHAnsi"/>
          <w:b/>
          <w:sz w:val="24"/>
          <w:szCs w:val="24"/>
        </w:rPr>
      </w:pPr>
      <w:r w:rsidRPr="00935D73">
        <w:rPr>
          <w:rFonts w:asciiTheme="minorHAnsi" w:hAnsiTheme="minorHAnsi"/>
          <w:sz w:val="24"/>
          <w:szCs w:val="24"/>
        </w:rPr>
        <w:t>Telčské pracoviště NPÚ bylo pověřeno přípravou a realizací Mezinárodní letní školy památkové péče 2014.</w:t>
      </w:r>
      <w:r w:rsidRPr="00935D73">
        <w:rPr>
          <w:rFonts w:asciiTheme="minorHAnsi" w:hAnsiTheme="minorHAnsi"/>
          <w:b/>
          <w:sz w:val="24"/>
          <w:szCs w:val="24"/>
        </w:rPr>
        <w:t xml:space="preserve"> </w:t>
      </w:r>
      <w:r w:rsidRPr="00935D73">
        <w:rPr>
          <w:rFonts w:asciiTheme="minorHAnsi" w:hAnsiTheme="minorHAnsi"/>
          <w:sz w:val="24"/>
          <w:szCs w:val="24"/>
        </w:rPr>
        <w:t>Šlo o</w:t>
      </w:r>
      <w:r w:rsidRPr="00935D73">
        <w:rPr>
          <w:rFonts w:asciiTheme="minorHAnsi" w:hAnsiTheme="minorHAnsi"/>
          <w:b/>
          <w:sz w:val="24"/>
          <w:szCs w:val="24"/>
        </w:rPr>
        <w:t xml:space="preserve"> </w:t>
      </w:r>
      <w:r w:rsidRPr="00935D73">
        <w:rPr>
          <w:rFonts w:asciiTheme="minorHAnsi" w:hAnsiTheme="minorHAnsi"/>
          <w:sz w:val="24"/>
          <w:szCs w:val="24"/>
        </w:rPr>
        <w:t xml:space="preserve">mezinárodní tréninkový program (v rámci aktivit zemí Visegrádské čtyřky) pro specialisty z řad památkové péče, představitele kulturních institucí a nevládních organizací. </w:t>
      </w:r>
    </w:p>
    <w:p w:rsidR="00935D73" w:rsidRPr="00935D73" w:rsidRDefault="00935D73" w:rsidP="00772B4C">
      <w:pPr>
        <w:jc w:val="both"/>
        <w:rPr>
          <w:rFonts w:asciiTheme="minorHAnsi" w:hAnsiTheme="minorHAnsi"/>
          <w:b/>
          <w:sz w:val="24"/>
          <w:szCs w:val="24"/>
        </w:rPr>
      </w:pPr>
      <w:r w:rsidRPr="00935D73">
        <w:rPr>
          <w:rFonts w:asciiTheme="minorHAnsi" w:hAnsiTheme="minorHAnsi"/>
          <w:sz w:val="24"/>
          <w:szCs w:val="24"/>
        </w:rPr>
        <w:t>Přednáška Fascinace alchymií v dějinách a dva workshopy byly součástí projektu</w:t>
      </w:r>
      <w:r w:rsidRPr="00935D73">
        <w:rPr>
          <w:rFonts w:asciiTheme="minorHAnsi" w:hAnsiTheme="minorHAnsi"/>
          <w:b/>
          <w:sz w:val="24"/>
          <w:szCs w:val="24"/>
        </w:rPr>
        <w:t xml:space="preserve"> </w:t>
      </w:r>
      <w:r w:rsidRPr="00935D73">
        <w:rPr>
          <w:rFonts w:asciiTheme="minorHAnsi" w:hAnsiTheme="minorHAnsi"/>
          <w:sz w:val="24"/>
          <w:szCs w:val="24"/>
        </w:rPr>
        <w:t xml:space="preserve">Mladé univerzity </w:t>
      </w:r>
      <w:proofErr w:type="spellStart"/>
      <w:r w:rsidRPr="00935D73">
        <w:rPr>
          <w:rFonts w:asciiTheme="minorHAnsi" w:hAnsiTheme="minorHAnsi"/>
          <w:sz w:val="24"/>
          <w:szCs w:val="24"/>
        </w:rPr>
        <w:t>Waldviertel</w:t>
      </w:r>
      <w:proofErr w:type="spellEnd"/>
      <w:r w:rsidRPr="00935D73">
        <w:rPr>
          <w:rFonts w:asciiTheme="minorHAnsi" w:hAnsiTheme="minorHAnsi"/>
          <w:sz w:val="24"/>
          <w:szCs w:val="24"/>
        </w:rPr>
        <w:t>, se kterou NPÚ každoročně spolupracuje</w:t>
      </w:r>
      <w:r w:rsidRPr="00935D73">
        <w:rPr>
          <w:rFonts w:asciiTheme="minorHAnsi" w:hAnsiTheme="minorHAnsi"/>
          <w:b/>
          <w:sz w:val="24"/>
          <w:szCs w:val="24"/>
        </w:rPr>
        <w:t xml:space="preserve">. </w:t>
      </w:r>
      <w:r w:rsidRPr="00935D73">
        <w:rPr>
          <w:rFonts w:asciiTheme="minorHAnsi" w:hAnsiTheme="minorHAnsi"/>
          <w:sz w:val="24"/>
          <w:szCs w:val="24"/>
        </w:rPr>
        <w:t>Během p</w:t>
      </w:r>
      <w:r w:rsidRPr="00935D73">
        <w:rPr>
          <w:rFonts w:asciiTheme="minorHAnsi" w:hAnsiTheme="minorHAnsi" w:cs="Arial"/>
          <w:bCs/>
          <w:sz w:val="24"/>
          <w:szCs w:val="24"/>
          <w:shd w:val="clear" w:color="auto" w:fill="FFFFFF"/>
        </w:rPr>
        <w:t>rogramu</w:t>
      </w:r>
      <w:r w:rsidRPr="00935D73">
        <w:rPr>
          <w:rFonts w:asciiTheme="minorHAnsi" w:hAnsiTheme="minorHAnsi" w:cs="Arial"/>
          <w:bCs/>
          <w:color w:val="000000"/>
          <w:sz w:val="24"/>
          <w:szCs w:val="24"/>
          <w:shd w:val="clear" w:color="auto" w:fill="FFFFFF"/>
        </w:rPr>
        <w:t xml:space="preserve">, který byl určen pro české a rakouské děti ve věku od 11 do 15 let, se účastníci </w:t>
      </w:r>
      <w:r w:rsidRPr="00935D73">
        <w:rPr>
          <w:rFonts w:asciiTheme="minorHAnsi" w:hAnsiTheme="minorHAnsi" w:cs="Arial"/>
          <w:sz w:val="24"/>
          <w:szCs w:val="24"/>
        </w:rPr>
        <w:t>seznámili s různými typy využití rostlin, např. v kuchyni, v domácnosti, v léčitelství, či v alchymii.</w:t>
      </w:r>
    </w:p>
    <w:p w:rsidR="00935D73" w:rsidRPr="00935D73" w:rsidRDefault="00935D73" w:rsidP="00772B4C">
      <w:pPr>
        <w:jc w:val="both"/>
        <w:rPr>
          <w:rFonts w:asciiTheme="minorHAnsi" w:hAnsiTheme="minorHAnsi"/>
          <w:sz w:val="24"/>
          <w:szCs w:val="24"/>
        </w:rPr>
      </w:pPr>
      <w:r w:rsidRPr="00935D73">
        <w:rPr>
          <w:rFonts w:asciiTheme="minorHAnsi" w:hAnsiTheme="minorHAnsi"/>
          <w:sz w:val="24"/>
          <w:szCs w:val="24"/>
        </w:rPr>
        <w:t>V červnu 2014 uspořádal</w:t>
      </w:r>
      <w:r w:rsidR="00CE7DBE">
        <w:rPr>
          <w:rFonts w:asciiTheme="minorHAnsi" w:hAnsiTheme="minorHAnsi"/>
          <w:sz w:val="24"/>
          <w:szCs w:val="24"/>
        </w:rPr>
        <w:t xml:space="preserve"> NPÚ ÚOP v</w:t>
      </w:r>
      <w:bookmarkStart w:id="2" w:name="_GoBack"/>
      <w:bookmarkEnd w:id="2"/>
      <w:r w:rsidRPr="00935D73">
        <w:rPr>
          <w:rFonts w:asciiTheme="minorHAnsi" w:hAnsiTheme="minorHAnsi"/>
          <w:sz w:val="24"/>
          <w:szCs w:val="24"/>
        </w:rPr>
        <w:t xml:space="preserve"> Telči a České centrum Vídeň představení knihy „Panství Náměšť v proměnách času: Obraz v zrcadle evropských dějin“ rakouskému publiku. Součástí prezentace </w:t>
      </w:r>
      <w:r w:rsidR="00D64D65">
        <w:rPr>
          <w:rFonts w:asciiTheme="minorHAnsi" w:hAnsiTheme="minorHAnsi"/>
          <w:sz w:val="24"/>
          <w:szCs w:val="24"/>
        </w:rPr>
        <w:t>b</w:t>
      </w:r>
      <w:r w:rsidRPr="00935D73">
        <w:rPr>
          <w:rFonts w:asciiTheme="minorHAnsi" w:hAnsiTheme="minorHAnsi"/>
          <w:sz w:val="24"/>
          <w:szCs w:val="24"/>
        </w:rPr>
        <w:t>ylo rovněž představení zámku Náměšť nad Oslavou a jeho hudební tradice.</w:t>
      </w:r>
    </w:p>
    <w:p w:rsidR="00935D73" w:rsidRPr="00935D73" w:rsidRDefault="00935D73" w:rsidP="00935D73">
      <w:pPr>
        <w:rPr>
          <w:rFonts w:asciiTheme="minorHAnsi" w:hAnsiTheme="minorHAnsi"/>
          <w:sz w:val="24"/>
          <w:szCs w:val="24"/>
        </w:rPr>
      </w:pPr>
    </w:p>
    <w:p w:rsidR="00972FE1" w:rsidRPr="00DC52D3" w:rsidRDefault="00972FE1" w:rsidP="00972FE1">
      <w:pPr>
        <w:rPr>
          <w:rFonts w:ascii="Calibri" w:hAnsi="Calibri" w:cs="Arial"/>
          <w:sz w:val="24"/>
          <w:szCs w:val="24"/>
          <w:lang w:eastAsia="cs-CZ"/>
        </w:rPr>
      </w:pPr>
      <w:r w:rsidRPr="00DC52D3">
        <w:rPr>
          <w:rFonts w:ascii="Calibri" w:hAnsi="Calibri" w:cs="Arial"/>
          <w:sz w:val="24"/>
          <w:szCs w:val="24"/>
          <w:lang w:eastAsia="cs-CZ"/>
        </w:rPr>
        <w:t>______________________________________________________________________________</w:t>
      </w:r>
      <w:r w:rsidR="000D7BAE" w:rsidRPr="00DC52D3">
        <w:rPr>
          <w:rFonts w:ascii="Calibri" w:hAnsi="Calibri" w:cs="Arial"/>
          <w:sz w:val="24"/>
          <w:szCs w:val="24"/>
          <w:lang w:eastAsia="cs-CZ"/>
        </w:rPr>
        <w:t>_</w:t>
      </w:r>
      <w:r w:rsidR="006E57D8">
        <w:rPr>
          <w:rFonts w:ascii="Calibri" w:hAnsi="Calibri" w:cs="Arial"/>
          <w:sz w:val="24"/>
          <w:szCs w:val="24"/>
          <w:lang w:eastAsia="cs-CZ"/>
        </w:rPr>
        <w:t>_</w:t>
      </w:r>
    </w:p>
    <w:p w:rsidR="000D7BAE" w:rsidRPr="00B514FD" w:rsidRDefault="000D7BAE" w:rsidP="000D7BAE">
      <w:pPr>
        <w:pStyle w:val="bgcolor"/>
        <w:spacing w:before="0" w:beforeAutospacing="0" w:after="0" w:afterAutospacing="0"/>
        <w:jc w:val="both"/>
        <w:rPr>
          <w:rFonts w:ascii="Calibri" w:hAnsi="Calibri"/>
          <w:sz w:val="22"/>
          <w:szCs w:val="22"/>
        </w:rPr>
      </w:pPr>
      <w:r w:rsidRPr="00B514FD">
        <w:rPr>
          <w:rStyle w:val="Siln"/>
          <w:rFonts w:ascii="Calibri" w:hAnsi="Calibri"/>
          <w:b w:val="0"/>
          <w:sz w:val="22"/>
          <w:szCs w:val="22"/>
        </w:rPr>
        <w:t xml:space="preserve">Národní památkový ústav, územní odborné pracoviště v Telči, je jedním ze čtrnácti krajských pracovišť NPÚ. Jeho úkolem je naplňovat v Kraji Vysočina poslání odborné instituce památkové péče dané zákonem o státní památkové péči, např. </w:t>
      </w:r>
      <w:r w:rsidRPr="00B514FD">
        <w:rPr>
          <w:rStyle w:val="textsmaller"/>
          <w:rFonts w:ascii="Calibri" w:hAnsi="Calibri"/>
          <w:sz w:val="22"/>
          <w:szCs w:val="22"/>
        </w:rPr>
        <w:t xml:space="preserve">zpracovávat odborné podklady pro rozhodnutí výkonných orgánů, poskytovat konzultace a </w:t>
      </w:r>
      <w:r w:rsidRPr="00B514FD">
        <w:rPr>
          <w:rFonts w:ascii="Calibri" w:hAnsi="Calibri"/>
          <w:sz w:val="22"/>
          <w:szCs w:val="22"/>
        </w:rPr>
        <w:t xml:space="preserve">odbornou pomoc vlastníkům kulturních památek </w:t>
      </w:r>
      <w:r w:rsidRPr="00B514FD">
        <w:rPr>
          <w:rStyle w:val="textsmaller"/>
          <w:rFonts w:ascii="Calibri" w:hAnsi="Calibri"/>
          <w:sz w:val="22"/>
          <w:szCs w:val="22"/>
        </w:rPr>
        <w:t xml:space="preserve">při jejich obnovách a sledovat stav památkového fondu na území kraje. Pracoviště v Telči také zpracovává návrhy na prohlašování věcí či objektů za kulturní památky a podílí se následně na jejich evidenci. Spravuje dokumentační sbírky plánů, fotografií a dalších odborných podkladů ke kulturním památkám, vede veřejně přístupnou knihovnu, vydává sborník Památky Vysočiny, organizuje cyklus přednášek Rodinné stříbro – Památky kolem nás a provádí archeologické průzkumy. </w:t>
      </w:r>
      <w:r w:rsidRPr="00B514FD">
        <w:rPr>
          <w:rFonts w:ascii="Calibri" w:hAnsi="Calibri"/>
          <w:sz w:val="22"/>
          <w:szCs w:val="22"/>
        </w:rPr>
        <w:t xml:space="preserve">Další informace najdete na </w:t>
      </w:r>
      <w:hyperlink r:id="rId8" w:history="1">
        <w:r w:rsidRPr="00B514FD">
          <w:rPr>
            <w:rStyle w:val="Hypertextovodkaz"/>
            <w:rFonts w:ascii="Calibri" w:hAnsi="Calibri"/>
            <w:sz w:val="22"/>
            <w:szCs w:val="22"/>
          </w:rPr>
          <w:t>www.npu-telc.cz</w:t>
        </w:r>
      </w:hyperlink>
      <w:r w:rsidRPr="00B514FD">
        <w:rPr>
          <w:rFonts w:ascii="Calibri" w:hAnsi="Calibri"/>
          <w:sz w:val="22"/>
          <w:szCs w:val="22"/>
        </w:rPr>
        <w:t>.</w:t>
      </w:r>
    </w:p>
    <w:p w:rsidR="000D7BAE" w:rsidRPr="00DC52D3" w:rsidRDefault="000D7BAE" w:rsidP="00972FE1">
      <w:pPr>
        <w:rPr>
          <w:rFonts w:ascii="Calibri" w:hAnsi="Calibri" w:cs="Arial"/>
          <w:sz w:val="24"/>
          <w:szCs w:val="24"/>
          <w:lang w:eastAsia="cs-CZ"/>
        </w:rPr>
      </w:pPr>
      <w:r w:rsidRPr="00DC52D3">
        <w:rPr>
          <w:rFonts w:ascii="Calibri" w:hAnsi="Calibri" w:cs="Arial"/>
          <w:sz w:val="24"/>
          <w:szCs w:val="24"/>
          <w:lang w:eastAsia="cs-CZ"/>
        </w:rPr>
        <w:t>________________________________________________________________________________</w:t>
      </w:r>
    </w:p>
    <w:p w:rsidR="00972FE1" w:rsidRPr="00B737DE" w:rsidRDefault="00972FE1" w:rsidP="00972FE1">
      <w:pPr>
        <w:pStyle w:val="Prosttext1"/>
        <w:rPr>
          <w:rFonts w:ascii="Calibri" w:hAnsi="Calibri" w:cs="Arial"/>
          <w:b/>
          <w:i/>
          <w:sz w:val="20"/>
          <w:szCs w:val="20"/>
        </w:rPr>
      </w:pPr>
    </w:p>
    <w:p w:rsidR="00972FE1" w:rsidRPr="00B737DE" w:rsidRDefault="00972FE1" w:rsidP="00972FE1">
      <w:pPr>
        <w:pStyle w:val="Prosttext1"/>
        <w:rPr>
          <w:rFonts w:ascii="Calibri" w:hAnsi="Calibri" w:cs="Arial"/>
          <w:b/>
          <w:i/>
          <w:sz w:val="20"/>
          <w:szCs w:val="20"/>
        </w:rPr>
      </w:pPr>
      <w:r w:rsidRPr="00B737DE">
        <w:rPr>
          <w:rFonts w:ascii="Calibri" w:hAnsi="Calibri" w:cs="Arial"/>
          <w:b/>
          <w:i/>
          <w:sz w:val="20"/>
          <w:szCs w:val="20"/>
        </w:rPr>
        <w:t xml:space="preserve">Kontakt: </w:t>
      </w:r>
    </w:p>
    <w:p w:rsidR="00972FE1" w:rsidRPr="00B737DE" w:rsidRDefault="00972FE1" w:rsidP="00972FE1">
      <w:pPr>
        <w:rPr>
          <w:rFonts w:ascii="Calibri" w:hAnsi="Calibri" w:cs="Tahoma"/>
          <w:noProof/>
          <w:color w:val="0000A0"/>
          <w:sz w:val="18"/>
          <w:szCs w:val="18"/>
          <w:lang w:eastAsia="cs-CZ"/>
        </w:rPr>
      </w:pPr>
      <w:r w:rsidRPr="00B737DE">
        <w:rPr>
          <w:rFonts w:ascii="Calibri" w:hAnsi="Calibri" w:cs="Arial"/>
          <w:b/>
          <w:bCs/>
          <w:sz w:val="18"/>
          <w:szCs w:val="18"/>
        </w:rPr>
        <w:t>Ilona Ampapová, prezentace a práce s veřejností</w:t>
      </w:r>
      <w:r w:rsidRPr="00B737DE">
        <w:rPr>
          <w:rFonts w:ascii="Calibri" w:hAnsi="Calibri" w:cs="Arial"/>
          <w:sz w:val="18"/>
          <w:szCs w:val="18"/>
        </w:rPr>
        <w:t xml:space="preserve">, NPÚ ÚOP Telč, 724 663 511, </w:t>
      </w:r>
      <w:r w:rsidRPr="00B737DE">
        <w:rPr>
          <w:rFonts w:ascii="Calibri" w:hAnsi="Calibri" w:cs="Tahoma"/>
          <w:noProof/>
          <w:sz w:val="18"/>
          <w:szCs w:val="18"/>
          <w:lang w:eastAsia="cs-CZ"/>
        </w:rPr>
        <w:t xml:space="preserve">e-mail: </w:t>
      </w:r>
      <w:r w:rsidRPr="00B737DE">
        <w:rPr>
          <w:rFonts w:ascii="Calibri" w:hAnsi="Calibri" w:cs="Tahoma"/>
          <w:noProof/>
          <w:color w:val="0000A0"/>
          <w:sz w:val="18"/>
          <w:szCs w:val="18"/>
          <w:lang w:eastAsia="cs-CZ"/>
        </w:rPr>
        <w:t>ampapova.ilona@npu.cz</w:t>
      </w:r>
      <w:r w:rsidRPr="00B737DE">
        <w:rPr>
          <w:rFonts w:ascii="Calibri" w:hAnsi="Calibri"/>
          <w:noProof/>
          <w:color w:val="000080"/>
          <w:sz w:val="18"/>
          <w:szCs w:val="18"/>
          <w:lang w:val="en-US" w:eastAsia="cs-CZ"/>
        </w:rPr>
        <w:t xml:space="preserve"> </w:t>
      </w:r>
    </w:p>
    <w:p w:rsidR="00972FE1" w:rsidRPr="00B737DE" w:rsidRDefault="00972FE1" w:rsidP="00972FE1">
      <w:pPr>
        <w:rPr>
          <w:rFonts w:ascii="Calibri" w:hAnsi="Calibri" w:cs="Tahoma"/>
          <w:noProof/>
          <w:lang w:eastAsia="cs-CZ"/>
        </w:rPr>
      </w:pPr>
    </w:p>
    <w:p w:rsidR="00972FE1" w:rsidRPr="00B737DE" w:rsidRDefault="00972FE1" w:rsidP="00972FE1">
      <w:pPr>
        <w:pStyle w:val="Prosttext1"/>
        <w:rPr>
          <w:rFonts w:ascii="Calibri" w:hAnsi="Calibri" w:cs="Arial"/>
        </w:rPr>
      </w:pPr>
    </w:p>
    <w:p w:rsidR="002518CE" w:rsidRPr="00B737DE" w:rsidRDefault="002518CE">
      <w:pPr>
        <w:pStyle w:val="Prosttext1"/>
        <w:rPr>
          <w:rFonts w:ascii="Calibri" w:hAnsi="Calibri" w:cs="Arial"/>
        </w:rPr>
      </w:pPr>
    </w:p>
    <w:sectPr w:rsidR="002518CE" w:rsidRPr="00B737DE" w:rsidSect="00AC071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8" w:right="1134" w:bottom="992"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333" w:rsidRDefault="00BC7333">
      <w:r>
        <w:separator/>
      </w:r>
    </w:p>
  </w:endnote>
  <w:endnote w:type="continuationSeparator" w:id="0">
    <w:p w:rsidR="00BC7333" w:rsidRDefault="00BC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4F" w:rsidRDefault="00B127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4E" w:rsidRDefault="007F3E4E">
    <w:pPr>
      <w:pStyle w:val="Zpat"/>
      <w:rPr>
        <w:sz w:val="16"/>
      </w:rPr>
    </w:pPr>
    <w:proofErr w:type="gramStart"/>
    <w:r>
      <w:rPr>
        <w:sz w:val="16"/>
      </w:rPr>
      <w:t>Hradecká 6,  588 56</w:t>
    </w:r>
    <w:proofErr w:type="gramEnd"/>
    <w:r>
      <w:rPr>
        <w:sz w:val="16"/>
      </w:rPr>
      <w:t>  Telč</w:t>
    </w:r>
  </w:p>
  <w:p w:rsidR="007F3E4E" w:rsidRDefault="007F3E4E">
    <w:pPr>
      <w:pStyle w:val="Zpat"/>
      <w:rPr>
        <w:sz w:val="16"/>
      </w:rPr>
    </w:pPr>
    <w:r>
      <w:rPr>
        <w:color w:val="000000"/>
        <w:sz w:val="16"/>
      </w:rPr>
      <w:t>Tel: +420 567 213 116</w:t>
    </w:r>
    <w:r>
      <w:rPr>
        <w:b/>
        <w:bCs/>
        <w:color w:val="000000"/>
        <w:sz w:val="16"/>
      </w:rPr>
      <w:t xml:space="preserve">, </w:t>
    </w:r>
    <w:r>
      <w:rPr>
        <w:color w:val="000000"/>
        <w:sz w:val="16"/>
      </w:rPr>
      <w:t>Fax: +420 567 243 655, E-mail:</w:t>
    </w:r>
    <w:smartTag w:uri="urn:schemas-microsoft-com:office:smarttags" w:element="PersonName">
      <w:r>
        <w:rPr>
          <w:color w:val="000000"/>
          <w:sz w:val="16"/>
        </w:rPr>
        <w:t>ampapova@telc.npu.cz</w:t>
      </w:r>
    </w:smartTag>
    <w:r>
      <w:rPr>
        <w:sz w:val="16"/>
      </w:rPr>
      <w:t>, IČO: 75032333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11B" w:rsidRPr="00BB2458" w:rsidRDefault="0053011B" w:rsidP="0053011B">
    <w:pPr>
      <w:pStyle w:val="Style1"/>
      <w:tabs>
        <w:tab w:val="right" w:pos="9071"/>
      </w:tabs>
      <w:rPr>
        <w:rFonts w:ascii="Calibri" w:hAnsi="Calibri"/>
        <w:sz w:val="18"/>
        <w:szCs w:val="18"/>
      </w:rPr>
    </w:pPr>
    <w:r w:rsidRPr="00BB2458">
      <w:rPr>
        <w:rFonts w:ascii="Calibri" w:hAnsi="Calibri"/>
        <w:sz w:val="18"/>
        <w:szCs w:val="18"/>
      </w:rPr>
      <w:t>Národní památkový ústav, územní odborné pracoviště v Telči | Hradecká 6, 588 56 Telč</w:t>
    </w:r>
    <w:r>
      <w:rPr>
        <w:rFonts w:ascii="Calibri" w:hAnsi="Calibri"/>
        <w:sz w:val="18"/>
        <w:szCs w:val="18"/>
      </w:rPr>
      <w:tab/>
    </w:r>
  </w:p>
  <w:p w:rsidR="0053011B" w:rsidRPr="00BB2458" w:rsidRDefault="0053011B" w:rsidP="0053011B">
    <w:pPr>
      <w:pStyle w:val="Style1"/>
      <w:rPr>
        <w:rFonts w:ascii="Calibri" w:hAnsi="Calibri"/>
        <w:sz w:val="18"/>
        <w:szCs w:val="18"/>
      </w:rPr>
    </w:pPr>
    <w:r w:rsidRPr="00BB2458">
      <w:rPr>
        <w:rFonts w:ascii="Calibri" w:hAnsi="Calibri"/>
        <w:sz w:val="18"/>
        <w:szCs w:val="18"/>
      </w:rPr>
      <w:t>T +420 567 243 655 | F +420 567 243 655 | E epodatelna@npu.cz | DS 2cy8h6t | IČ 75032333 | DIČ CZ75032333</w:t>
    </w:r>
  </w:p>
  <w:p w:rsidR="00C12DD0" w:rsidRPr="0053011B" w:rsidRDefault="00C12DD0" w:rsidP="005301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333" w:rsidRDefault="00BC7333">
      <w:r>
        <w:separator/>
      </w:r>
    </w:p>
  </w:footnote>
  <w:footnote w:type="continuationSeparator" w:id="0">
    <w:p w:rsidR="00BC7333" w:rsidRDefault="00BC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4F" w:rsidRDefault="00B1274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4E" w:rsidRDefault="007F3E4E">
    <w:pPr>
      <w:pStyle w:val="Zhlav"/>
      <w:ind w:left="-56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4E" w:rsidRDefault="001375B7" w:rsidP="006D00C9">
    <w:pPr>
      <w:pStyle w:val="Zhlav"/>
      <w:tabs>
        <w:tab w:val="left" w:pos="6983"/>
      </w:tabs>
    </w:pPr>
    <w:r>
      <w:rPr>
        <w:noProof/>
        <w:lang w:eastAsia="cs-CZ"/>
      </w:rPr>
      <w:drawing>
        <wp:inline distT="0" distB="0" distL="0" distR="0">
          <wp:extent cx="2781300" cy="742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742950"/>
                  </a:xfrm>
                  <a:prstGeom prst="rect">
                    <a:avLst/>
                  </a:prstGeom>
                  <a:noFill/>
                  <a:ln>
                    <a:noFill/>
                  </a:ln>
                </pic:spPr>
              </pic:pic>
            </a:graphicData>
          </a:graphic>
        </wp:inline>
      </w:drawing>
    </w:r>
    <w:r w:rsidR="007F3E4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C8D1B24"/>
    <w:multiLevelType w:val="hybridMultilevel"/>
    <w:tmpl w:val="8E1EB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D5"/>
    <w:rsid w:val="00006A9F"/>
    <w:rsid w:val="00011961"/>
    <w:rsid w:val="00013F60"/>
    <w:rsid w:val="00015E57"/>
    <w:rsid w:val="00020315"/>
    <w:rsid w:val="000227F8"/>
    <w:rsid w:val="00044C8D"/>
    <w:rsid w:val="00045FF4"/>
    <w:rsid w:val="00065FF2"/>
    <w:rsid w:val="00096EC4"/>
    <w:rsid w:val="000A78E7"/>
    <w:rsid w:val="000B62E3"/>
    <w:rsid w:val="000C089A"/>
    <w:rsid w:val="000C38AC"/>
    <w:rsid w:val="000C6B66"/>
    <w:rsid w:val="000D17DF"/>
    <w:rsid w:val="000D25E2"/>
    <w:rsid w:val="000D37FB"/>
    <w:rsid w:val="000D559C"/>
    <w:rsid w:val="000D7BAE"/>
    <w:rsid w:val="000E301C"/>
    <w:rsid w:val="000E7258"/>
    <w:rsid w:val="000F779A"/>
    <w:rsid w:val="00115874"/>
    <w:rsid w:val="00116173"/>
    <w:rsid w:val="00117D2C"/>
    <w:rsid w:val="00120349"/>
    <w:rsid w:val="00126079"/>
    <w:rsid w:val="00126FDC"/>
    <w:rsid w:val="001375B7"/>
    <w:rsid w:val="001423B3"/>
    <w:rsid w:val="001557D2"/>
    <w:rsid w:val="00161938"/>
    <w:rsid w:val="00161E81"/>
    <w:rsid w:val="0017196A"/>
    <w:rsid w:val="00184A32"/>
    <w:rsid w:val="001871C6"/>
    <w:rsid w:val="00187857"/>
    <w:rsid w:val="001906A9"/>
    <w:rsid w:val="0019127F"/>
    <w:rsid w:val="0019237A"/>
    <w:rsid w:val="001A52E8"/>
    <w:rsid w:val="001B0E2B"/>
    <w:rsid w:val="001B624C"/>
    <w:rsid w:val="001C4765"/>
    <w:rsid w:val="001C6742"/>
    <w:rsid w:val="001C7F3F"/>
    <w:rsid w:val="001D421D"/>
    <w:rsid w:val="001D447D"/>
    <w:rsid w:val="001D4D47"/>
    <w:rsid w:val="001D5F11"/>
    <w:rsid w:val="001E3AED"/>
    <w:rsid w:val="002159B9"/>
    <w:rsid w:val="00215BA7"/>
    <w:rsid w:val="00224727"/>
    <w:rsid w:val="0023694A"/>
    <w:rsid w:val="00246711"/>
    <w:rsid w:val="00246853"/>
    <w:rsid w:val="002518CE"/>
    <w:rsid w:val="002575ED"/>
    <w:rsid w:val="002622FC"/>
    <w:rsid w:val="00263163"/>
    <w:rsid w:val="0027143D"/>
    <w:rsid w:val="002727B5"/>
    <w:rsid w:val="0028182E"/>
    <w:rsid w:val="00282BA8"/>
    <w:rsid w:val="002858E0"/>
    <w:rsid w:val="0028783B"/>
    <w:rsid w:val="00295A00"/>
    <w:rsid w:val="00296E4B"/>
    <w:rsid w:val="002A77CC"/>
    <w:rsid w:val="002B514C"/>
    <w:rsid w:val="002C01E3"/>
    <w:rsid w:val="002C67CC"/>
    <w:rsid w:val="002D20C0"/>
    <w:rsid w:val="002D7BC0"/>
    <w:rsid w:val="002D7E90"/>
    <w:rsid w:val="002E2468"/>
    <w:rsid w:val="00306673"/>
    <w:rsid w:val="00307172"/>
    <w:rsid w:val="003122BA"/>
    <w:rsid w:val="00315F3F"/>
    <w:rsid w:val="00317FDC"/>
    <w:rsid w:val="00320156"/>
    <w:rsid w:val="00323588"/>
    <w:rsid w:val="003352ED"/>
    <w:rsid w:val="003417E5"/>
    <w:rsid w:val="00345434"/>
    <w:rsid w:val="003548A2"/>
    <w:rsid w:val="00376E65"/>
    <w:rsid w:val="00385878"/>
    <w:rsid w:val="00390A2A"/>
    <w:rsid w:val="00394766"/>
    <w:rsid w:val="00397673"/>
    <w:rsid w:val="003A3DFF"/>
    <w:rsid w:val="003A6D45"/>
    <w:rsid w:val="003A7746"/>
    <w:rsid w:val="003B0B7A"/>
    <w:rsid w:val="003B0C17"/>
    <w:rsid w:val="003B47E2"/>
    <w:rsid w:val="003B513F"/>
    <w:rsid w:val="003E2521"/>
    <w:rsid w:val="003F1734"/>
    <w:rsid w:val="003F41DC"/>
    <w:rsid w:val="00411D5B"/>
    <w:rsid w:val="00417471"/>
    <w:rsid w:val="00421E27"/>
    <w:rsid w:val="00425076"/>
    <w:rsid w:val="004253A4"/>
    <w:rsid w:val="00427101"/>
    <w:rsid w:val="004271FA"/>
    <w:rsid w:val="0043370D"/>
    <w:rsid w:val="00441DC3"/>
    <w:rsid w:val="004535CE"/>
    <w:rsid w:val="00455A29"/>
    <w:rsid w:val="00455E12"/>
    <w:rsid w:val="00457915"/>
    <w:rsid w:val="00461112"/>
    <w:rsid w:val="004659AD"/>
    <w:rsid w:val="00475F01"/>
    <w:rsid w:val="004824A5"/>
    <w:rsid w:val="00482754"/>
    <w:rsid w:val="00483530"/>
    <w:rsid w:val="00487F8A"/>
    <w:rsid w:val="00491538"/>
    <w:rsid w:val="0049243F"/>
    <w:rsid w:val="00497313"/>
    <w:rsid w:val="00497AC6"/>
    <w:rsid w:val="004A37E7"/>
    <w:rsid w:val="004B6707"/>
    <w:rsid w:val="004C5944"/>
    <w:rsid w:val="004D2AEC"/>
    <w:rsid w:val="004F2899"/>
    <w:rsid w:val="004F4879"/>
    <w:rsid w:val="004F527D"/>
    <w:rsid w:val="00502863"/>
    <w:rsid w:val="005148CD"/>
    <w:rsid w:val="005232ED"/>
    <w:rsid w:val="00526B72"/>
    <w:rsid w:val="0053011B"/>
    <w:rsid w:val="00537EBB"/>
    <w:rsid w:val="00562EFF"/>
    <w:rsid w:val="00564980"/>
    <w:rsid w:val="00571F73"/>
    <w:rsid w:val="00576DEE"/>
    <w:rsid w:val="00577C1A"/>
    <w:rsid w:val="00580122"/>
    <w:rsid w:val="0058016F"/>
    <w:rsid w:val="00586050"/>
    <w:rsid w:val="00590216"/>
    <w:rsid w:val="00591FED"/>
    <w:rsid w:val="00597DC9"/>
    <w:rsid w:val="005A5550"/>
    <w:rsid w:val="005B0D79"/>
    <w:rsid w:val="005B2BC2"/>
    <w:rsid w:val="005B62E3"/>
    <w:rsid w:val="005E620F"/>
    <w:rsid w:val="005F2F5A"/>
    <w:rsid w:val="005F640B"/>
    <w:rsid w:val="006064A8"/>
    <w:rsid w:val="006120DA"/>
    <w:rsid w:val="006134C2"/>
    <w:rsid w:val="006171F8"/>
    <w:rsid w:val="00642311"/>
    <w:rsid w:val="00647DA7"/>
    <w:rsid w:val="00667AC9"/>
    <w:rsid w:val="00672CC0"/>
    <w:rsid w:val="00674957"/>
    <w:rsid w:val="00675254"/>
    <w:rsid w:val="00680966"/>
    <w:rsid w:val="00683EC5"/>
    <w:rsid w:val="00684F9A"/>
    <w:rsid w:val="006927B2"/>
    <w:rsid w:val="00693854"/>
    <w:rsid w:val="006A055D"/>
    <w:rsid w:val="006A4CE5"/>
    <w:rsid w:val="006A64AF"/>
    <w:rsid w:val="006B74A6"/>
    <w:rsid w:val="006C128A"/>
    <w:rsid w:val="006C3BD9"/>
    <w:rsid w:val="006D00C9"/>
    <w:rsid w:val="006D14BF"/>
    <w:rsid w:val="006D209B"/>
    <w:rsid w:val="006E4D34"/>
    <w:rsid w:val="006E57D8"/>
    <w:rsid w:val="0070471E"/>
    <w:rsid w:val="00706451"/>
    <w:rsid w:val="00711D5A"/>
    <w:rsid w:val="0071535D"/>
    <w:rsid w:val="007172AD"/>
    <w:rsid w:val="00725B9C"/>
    <w:rsid w:val="00725C10"/>
    <w:rsid w:val="0073553E"/>
    <w:rsid w:val="00744F74"/>
    <w:rsid w:val="00746C0C"/>
    <w:rsid w:val="00754CA2"/>
    <w:rsid w:val="00765A0A"/>
    <w:rsid w:val="00771789"/>
    <w:rsid w:val="00772B4C"/>
    <w:rsid w:val="00783FC9"/>
    <w:rsid w:val="00793838"/>
    <w:rsid w:val="007A1782"/>
    <w:rsid w:val="007A3109"/>
    <w:rsid w:val="007A6760"/>
    <w:rsid w:val="007B61F7"/>
    <w:rsid w:val="007B6D65"/>
    <w:rsid w:val="007E1E78"/>
    <w:rsid w:val="007F3E4E"/>
    <w:rsid w:val="007F5939"/>
    <w:rsid w:val="007F6E95"/>
    <w:rsid w:val="00802FEE"/>
    <w:rsid w:val="00804221"/>
    <w:rsid w:val="008171BA"/>
    <w:rsid w:val="00817F81"/>
    <w:rsid w:val="008227FE"/>
    <w:rsid w:val="00823A8D"/>
    <w:rsid w:val="00824A87"/>
    <w:rsid w:val="00832A88"/>
    <w:rsid w:val="00843184"/>
    <w:rsid w:val="00843D93"/>
    <w:rsid w:val="008443DB"/>
    <w:rsid w:val="008450B1"/>
    <w:rsid w:val="00846D00"/>
    <w:rsid w:val="00850882"/>
    <w:rsid w:val="00857AC0"/>
    <w:rsid w:val="00860B6B"/>
    <w:rsid w:val="0086131B"/>
    <w:rsid w:val="0086535E"/>
    <w:rsid w:val="008663AB"/>
    <w:rsid w:val="008702EC"/>
    <w:rsid w:val="008728C2"/>
    <w:rsid w:val="00883C5A"/>
    <w:rsid w:val="00891B2D"/>
    <w:rsid w:val="008938E9"/>
    <w:rsid w:val="008943AB"/>
    <w:rsid w:val="008964C1"/>
    <w:rsid w:val="008A13D5"/>
    <w:rsid w:val="008C3852"/>
    <w:rsid w:val="008C4551"/>
    <w:rsid w:val="008D017E"/>
    <w:rsid w:val="008D45CA"/>
    <w:rsid w:val="008D4E97"/>
    <w:rsid w:val="008D5D3E"/>
    <w:rsid w:val="008E5404"/>
    <w:rsid w:val="009045DB"/>
    <w:rsid w:val="00927B39"/>
    <w:rsid w:val="00935D73"/>
    <w:rsid w:val="00947493"/>
    <w:rsid w:val="009479CD"/>
    <w:rsid w:val="009537C8"/>
    <w:rsid w:val="00972FE1"/>
    <w:rsid w:val="00977AFE"/>
    <w:rsid w:val="009917DC"/>
    <w:rsid w:val="00992DED"/>
    <w:rsid w:val="00994BE8"/>
    <w:rsid w:val="00997D44"/>
    <w:rsid w:val="009A3160"/>
    <w:rsid w:val="009A54C5"/>
    <w:rsid w:val="009B36F2"/>
    <w:rsid w:val="009B3ECE"/>
    <w:rsid w:val="009C0DC1"/>
    <w:rsid w:val="009C4744"/>
    <w:rsid w:val="009C6E7B"/>
    <w:rsid w:val="009E326C"/>
    <w:rsid w:val="009E6583"/>
    <w:rsid w:val="009F25F3"/>
    <w:rsid w:val="009F3E55"/>
    <w:rsid w:val="009F4E1F"/>
    <w:rsid w:val="009F7111"/>
    <w:rsid w:val="00A02866"/>
    <w:rsid w:val="00A24C49"/>
    <w:rsid w:val="00A3351F"/>
    <w:rsid w:val="00A37FB5"/>
    <w:rsid w:val="00A570D5"/>
    <w:rsid w:val="00A61AB3"/>
    <w:rsid w:val="00A64597"/>
    <w:rsid w:val="00A666E6"/>
    <w:rsid w:val="00A7349B"/>
    <w:rsid w:val="00A805CF"/>
    <w:rsid w:val="00A8417F"/>
    <w:rsid w:val="00AA1416"/>
    <w:rsid w:val="00AA2112"/>
    <w:rsid w:val="00AA4CC7"/>
    <w:rsid w:val="00AA61DE"/>
    <w:rsid w:val="00AB5AAA"/>
    <w:rsid w:val="00AB790D"/>
    <w:rsid w:val="00AC071D"/>
    <w:rsid w:val="00AD57AA"/>
    <w:rsid w:val="00AD7E0B"/>
    <w:rsid w:val="00AE62C2"/>
    <w:rsid w:val="00B11D90"/>
    <w:rsid w:val="00B1274F"/>
    <w:rsid w:val="00B12AD1"/>
    <w:rsid w:val="00B220C2"/>
    <w:rsid w:val="00B3275C"/>
    <w:rsid w:val="00B43435"/>
    <w:rsid w:val="00B47282"/>
    <w:rsid w:val="00B514FD"/>
    <w:rsid w:val="00B545E5"/>
    <w:rsid w:val="00B67AD8"/>
    <w:rsid w:val="00B737DE"/>
    <w:rsid w:val="00B804B1"/>
    <w:rsid w:val="00B823F5"/>
    <w:rsid w:val="00BA3E29"/>
    <w:rsid w:val="00BB2409"/>
    <w:rsid w:val="00BC2F65"/>
    <w:rsid w:val="00BC3BFA"/>
    <w:rsid w:val="00BC7333"/>
    <w:rsid w:val="00BD266A"/>
    <w:rsid w:val="00BD2C75"/>
    <w:rsid w:val="00BD7CBB"/>
    <w:rsid w:val="00BF23DD"/>
    <w:rsid w:val="00BF3499"/>
    <w:rsid w:val="00BF3BCA"/>
    <w:rsid w:val="00C07040"/>
    <w:rsid w:val="00C12DD0"/>
    <w:rsid w:val="00C145A8"/>
    <w:rsid w:val="00C14EBE"/>
    <w:rsid w:val="00C14EEE"/>
    <w:rsid w:val="00C20D70"/>
    <w:rsid w:val="00C2500B"/>
    <w:rsid w:val="00C26C5E"/>
    <w:rsid w:val="00C26D4E"/>
    <w:rsid w:val="00C312E4"/>
    <w:rsid w:val="00C32D26"/>
    <w:rsid w:val="00C34D7E"/>
    <w:rsid w:val="00C3646D"/>
    <w:rsid w:val="00C64C4B"/>
    <w:rsid w:val="00C66897"/>
    <w:rsid w:val="00C6793A"/>
    <w:rsid w:val="00C75E0C"/>
    <w:rsid w:val="00C869AA"/>
    <w:rsid w:val="00C90CE7"/>
    <w:rsid w:val="00CA1B59"/>
    <w:rsid w:val="00CA425C"/>
    <w:rsid w:val="00CB1C99"/>
    <w:rsid w:val="00CC40A6"/>
    <w:rsid w:val="00CC5BF8"/>
    <w:rsid w:val="00CC6098"/>
    <w:rsid w:val="00CD14DB"/>
    <w:rsid w:val="00CD22E5"/>
    <w:rsid w:val="00CD6F00"/>
    <w:rsid w:val="00CE4920"/>
    <w:rsid w:val="00CE7DBE"/>
    <w:rsid w:val="00CF1599"/>
    <w:rsid w:val="00CF57E0"/>
    <w:rsid w:val="00CF6F97"/>
    <w:rsid w:val="00D05187"/>
    <w:rsid w:val="00D23B05"/>
    <w:rsid w:val="00D25BE1"/>
    <w:rsid w:val="00D25F5E"/>
    <w:rsid w:val="00D44C2A"/>
    <w:rsid w:val="00D54755"/>
    <w:rsid w:val="00D5563A"/>
    <w:rsid w:val="00D64D65"/>
    <w:rsid w:val="00D659CC"/>
    <w:rsid w:val="00D70041"/>
    <w:rsid w:val="00D76B06"/>
    <w:rsid w:val="00D82B56"/>
    <w:rsid w:val="00D834DB"/>
    <w:rsid w:val="00D840A3"/>
    <w:rsid w:val="00D95330"/>
    <w:rsid w:val="00DA73DF"/>
    <w:rsid w:val="00DA7F9D"/>
    <w:rsid w:val="00DB2113"/>
    <w:rsid w:val="00DB2B89"/>
    <w:rsid w:val="00DB51D6"/>
    <w:rsid w:val="00DB552B"/>
    <w:rsid w:val="00DB614C"/>
    <w:rsid w:val="00DC0A4B"/>
    <w:rsid w:val="00DC2F50"/>
    <w:rsid w:val="00DC52D3"/>
    <w:rsid w:val="00DC55A5"/>
    <w:rsid w:val="00DE4DB8"/>
    <w:rsid w:val="00DF5C73"/>
    <w:rsid w:val="00E10A97"/>
    <w:rsid w:val="00E1594E"/>
    <w:rsid w:val="00E17B17"/>
    <w:rsid w:val="00E2159E"/>
    <w:rsid w:val="00E2392D"/>
    <w:rsid w:val="00E2406A"/>
    <w:rsid w:val="00E32130"/>
    <w:rsid w:val="00E3374B"/>
    <w:rsid w:val="00E343E4"/>
    <w:rsid w:val="00E421B5"/>
    <w:rsid w:val="00E47040"/>
    <w:rsid w:val="00E51DAA"/>
    <w:rsid w:val="00E54435"/>
    <w:rsid w:val="00E54844"/>
    <w:rsid w:val="00E709EB"/>
    <w:rsid w:val="00E82F52"/>
    <w:rsid w:val="00E97C0A"/>
    <w:rsid w:val="00EB5C86"/>
    <w:rsid w:val="00ED1868"/>
    <w:rsid w:val="00EF1640"/>
    <w:rsid w:val="00EF5724"/>
    <w:rsid w:val="00EF624A"/>
    <w:rsid w:val="00F00910"/>
    <w:rsid w:val="00F0102F"/>
    <w:rsid w:val="00F10CC0"/>
    <w:rsid w:val="00F11282"/>
    <w:rsid w:val="00F20107"/>
    <w:rsid w:val="00F20C28"/>
    <w:rsid w:val="00F27089"/>
    <w:rsid w:val="00F354D8"/>
    <w:rsid w:val="00F46401"/>
    <w:rsid w:val="00F54175"/>
    <w:rsid w:val="00F56A79"/>
    <w:rsid w:val="00F6742D"/>
    <w:rsid w:val="00F704AC"/>
    <w:rsid w:val="00F72869"/>
    <w:rsid w:val="00FA1549"/>
    <w:rsid w:val="00FA4185"/>
    <w:rsid w:val="00FA4EF0"/>
    <w:rsid w:val="00FB1125"/>
    <w:rsid w:val="00FB3EC4"/>
    <w:rsid w:val="00FB4726"/>
    <w:rsid w:val="00FB6C2C"/>
    <w:rsid w:val="00FD6025"/>
    <w:rsid w:val="00FD6062"/>
    <w:rsid w:val="00FF4BC1"/>
    <w:rsid w:val="00FF4BD3"/>
    <w:rsid w:val="00FF7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6259935E-6018-4A1D-94FB-DF6A4B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071D"/>
    <w:pPr>
      <w:suppressAutoHyphens/>
    </w:pPr>
    <w:rPr>
      <w:lang w:eastAsia="ar-SA"/>
    </w:rPr>
  </w:style>
  <w:style w:type="paragraph" w:styleId="Nadpis1">
    <w:name w:val="heading 1"/>
    <w:basedOn w:val="Normln"/>
    <w:next w:val="Normln"/>
    <w:link w:val="Nadpis1Char"/>
    <w:uiPriority w:val="99"/>
    <w:qFormat/>
    <w:rsid w:val="00AC071D"/>
    <w:pPr>
      <w:keepNext/>
      <w:tabs>
        <w:tab w:val="num" w:pos="432"/>
      </w:tabs>
      <w:ind w:right="567"/>
      <w:outlineLvl w:val="0"/>
    </w:pPr>
    <w:rPr>
      <w:b/>
      <w:sz w:val="22"/>
    </w:rPr>
  </w:style>
  <w:style w:type="paragraph" w:styleId="Nadpis2">
    <w:name w:val="heading 2"/>
    <w:basedOn w:val="Normln"/>
    <w:next w:val="Normln"/>
    <w:link w:val="Nadpis2Char"/>
    <w:uiPriority w:val="99"/>
    <w:qFormat/>
    <w:rsid w:val="00AC071D"/>
    <w:pPr>
      <w:keepNext/>
      <w:tabs>
        <w:tab w:val="num" w:pos="576"/>
      </w:tabs>
      <w:ind w:left="576" w:hanging="576"/>
      <w:outlineLvl w:val="1"/>
    </w:pPr>
    <w:rPr>
      <w:sz w:val="24"/>
    </w:rPr>
  </w:style>
  <w:style w:type="paragraph" w:styleId="Nadpis3">
    <w:name w:val="heading 3"/>
    <w:basedOn w:val="Normln"/>
    <w:next w:val="Normln"/>
    <w:link w:val="Nadpis3Char"/>
    <w:uiPriority w:val="99"/>
    <w:qFormat/>
    <w:rsid w:val="00AC071D"/>
    <w:pPr>
      <w:keepNext/>
      <w:tabs>
        <w:tab w:val="num" w:pos="720"/>
      </w:tabs>
      <w:spacing w:before="240" w:after="60"/>
      <w:ind w:left="720" w:hanging="72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D2FCF"/>
    <w:rPr>
      <w:rFonts w:ascii="Cambria" w:eastAsia="Times New Roman" w:hAnsi="Cambria" w:cs="Times New Roman"/>
      <w:b/>
      <w:bCs/>
      <w:kern w:val="32"/>
      <w:sz w:val="32"/>
      <w:szCs w:val="32"/>
      <w:lang w:eastAsia="ar-SA"/>
    </w:rPr>
  </w:style>
  <w:style w:type="character" w:customStyle="1" w:styleId="Nadpis2Char">
    <w:name w:val="Nadpis 2 Char"/>
    <w:link w:val="Nadpis2"/>
    <w:uiPriority w:val="9"/>
    <w:semiHidden/>
    <w:rsid w:val="00CD2FCF"/>
    <w:rPr>
      <w:rFonts w:ascii="Cambria" w:eastAsia="Times New Roman" w:hAnsi="Cambria" w:cs="Times New Roman"/>
      <w:b/>
      <w:bCs/>
      <w:i/>
      <w:iCs/>
      <w:sz w:val="28"/>
      <w:szCs w:val="28"/>
      <w:lang w:eastAsia="ar-SA"/>
    </w:rPr>
  </w:style>
  <w:style w:type="character" w:customStyle="1" w:styleId="Nadpis3Char">
    <w:name w:val="Nadpis 3 Char"/>
    <w:link w:val="Nadpis3"/>
    <w:uiPriority w:val="99"/>
    <w:semiHidden/>
    <w:rsid w:val="00CD2FCF"/>
    <w:rPr>
      <w:rFonts w:ascii="Cambria" w:eastAsia="Times New Roman" w:hAnsi="Cambria" w:cs="Times New Roman"/>
      <w:b/>
      <w:bCs/>
      <w:sz w:val="26"/>
      <w:szCs w:val="26"/>
      <w:lang w:eastAsia="ar-SA"/>
    </w:rPr>
  </w:style>
  <w:style w:type="character" w:customStyle="1" w:styleId="WW8Num2z0">
    <w:name w:val="WW8Num2z0"/>
    <w:uiPriority w:val="99"/>
    <w:rsid w:val="00AC071D"/>
    <w:rPr>
      <w:rFonts w:ascii="Symbol" w:hAnsi="Symbol"/>
    </w:rPr>
  </w:style>
  <w:style w:type="character" w:customStyle="1" w:styleId="WW8Num2z1">
    <w:name w:val="WW8Num2z1"/>
    <w:uiPriority w:val="99"/>
    <w:rsid w:val="00AC071D"/>
    <w:rPr>
      <w:rFonts w:ascii="Courier New" w:hAnsi="Courier New"/>
    </w:rPr>
  </w:style>
  <w:style w:type="character" w:customStyle="1" w:styleId="WW8Num2z2">
    <w:name w:val="WW8Num2z2"/>
    <w:uiPriority w:val="99"/>
    <w:rsid w:val="00AC071D"/>
    <w:rPr>
      <w:rFonts w:ascii="Wingdings" w:hAnsi="Wingdings"/>
    </w:rPr>
  </w:style>
  <w:style w:type="character" w:customStyle="1" w:styleId="WW8Num3z0">
    <w:name w:val="WW8Num3z0"/>
    <w:uiPriority w:val="99"/>
    <w:rsid w:val="00AC071D"/>
    <w:rPr>
      <w:rFonts w:ascii="Symbol" w:hAnsi="Symbol"/>
    </w:rPr>
  </w:style>
  <w:style w:type="character" w:customStyle="1" w:styleId="WW8Num3z1">
    <w:name w:val="WW8Num3z1"/>
    <w:uiPriority w:val="99"/>
    <w:rsid w:val="00AC071D"/>
    <w:rPr>
      <w:rFonts w:ascii="Courier New" w:hAnsi="Courier New"/>
    </w:rPr>
  </w:style>
  <w:style w:type="character" w:customStyle="1" w:styleId="WW8Num3z2">
    <w:name w:val="WW8Num3z2"/>
    <w:uiPriority w:val="99"/>
    <w:rsid w:val="00AC071D"/>
    <w:rPr>
      <w:rFonts w:ascii="Wingdings" w:hAnsi="Wingdings"/>
    </w:rPr>
  </w:style>
  <w:style w:type="character" w:customStyle="1" w:styleId="Standardnpsmoodstavce2">
    <w:name w:val="Standardní písmo odstavce2"/>
    <w:uiPriority w:val="99"/>
    <w:rsid w:val="00AC071D"/>
  </w:style>
  <w:style w:type="character" w:customStyle="1" w:styleId="Standardnpsmoodstavce1">
    <w:name w:val="Standardní písmo odstavce1"/>
    <w:uiPriority w:val="99"/>
    <w:rsid w:val="00AC071D"/>
  </w:style>
  <w:style w:type="character" w:styleId="slostrnky">
    <w:name w:val="page number"/>
    <w:rsid w:val="00AC071D"/>
    <w:rPr>
      <w:rFonts w:cs="Times New Roman"/>
    </w:rPr>
  </w:style>
  <w:style w:type="character" w:styleId="Siln">
    <w:name w:val="Strong"/>
    <w:uiPriority w:val="99"/>
    <w:qFormat/>
    <w:rsid w:val="00AC071D"/>
    <w:rPr>
      <w:rFonts w:cs="Times New Roman"/>
      <w:b/>
    </w:rPr>
  </w:style>
  <w:style w:type="character" w:styleId="Hypertextovodkaz">
    <w:name w:val="Hyperlink"/>
    <w:uiPriority w:val="99"/>
    <w:rsid w:val="00AC071D"/>
    <w:rPr>
      <w:rFonts w:cs="Times New Roman"/>
      <w:color w:val="0000FF"/>
      <w:u w:val="single"/>
    </w:rPr>
  </w:style>
  <w:style w:type="character" w:customStyle="1" w:styleId="FormtovanvHTMLChar">
    <w:name w:val="Formátovaný v HTML Char"/>
    <w:uiPriority w:val="99"/>
    <w:rsid w:val="00AC071D"/>
    <w:rPr>
      <w:rFonts w:ascii="Courier New" w:hAnsi="Courier New"/>
    </w:rPr>
  </w:style>
  <w:style w:type="paragraph" w:customStyle="1" w:styleId="Nadpis">
    <w:name w:val="Nadpis"/>
    <w:basedOn w:val="Normln"/>
    <w:next w:val="Zkladntext"/>
    <w:uiPriority w:val="99"/>
    <w:rsid w:val="00AC071D"/>
    <w:pPr>
      <w:keepNext/>
      <w:spacing w:before="240" w:after="120"/>
    </w:pPr>
    <w:rPr>
      <w:rFonts w:ascii="Arial" w:eastAsia="Arial Unicode MS" w:hAnsi="Arial" w:cs="Tahoma"/>
      <w:sz w:val="28"/>
      <w:szCs w:val="28"/>
    </w:rPr>
  </w:style>
  <w:style w:type="paragraph" w:styleId="Zkladntext">
    <w:name w:val="Body Text"/>
    <w:basedOn w:val="Normln"/>
    <w:link w:val="ZkladntextChar"/>
    <w:uiPriority w:val="99"/>
    <w:semiHidden/>
    <w:rsid w:val="00AC071D"/>
    <w:pPr>
      <w:spacing w:after="120"/>
    </w:pPr>
  </w:style>
  <w:style w:type="character" w:customStyle="1" w:styleId="ZkladntextChar">
    <w:name w:val="Základní text Char"/>
    <w:link w:val="Zkladntext"/>
    <w:uiPriority w:val="99"/>
    <w:semiHidden/>
    <w:rsid w:val="00CD2FCF"/>
    <w:rPr>
      <w:sz w:val="20"/>
      <w:szCs w:val="20"/>
      <w:lang w:eastAsia="ar-SA"/>
    </w:rPr>
  </w:style>
  <w:style w:type="paragraph" w:styleId="Seznam">
    <w:name w:val="List"/>
    <w:basedOn w:val="Zkladntext"/>
    <w:uiPriority w:val="99"/>
    <w:semiHidden/>
    <w:rsid w:val="00AC071D"/>
    <w:rPr>
      <w:rFonts w:cs="Tahoma"/>
    </w:rPr>
  </w:style>
  <w:style w:type="paragraph" w:customStyle="1" w:styleId="Popisek">
    <w:name w:val="Popisek"/>
    <w:basedOn w:val="Normln"/>
    <w:uiPriority w:val="99"/>
    <w:rsid w:val="00AC071D"/>
    <w:pPr>
      <w:suppressLineNumbers/>
      <w:spacing w:before="120" w:after="120"/>
    </w:pPr>
    <w:rPr>
      <w:rFonts w:cs="Tahoma"/>
      <w:i/>
      <w:iCs/>
      <w:sz w:val="24"/>
      <w:szCs w:val="24"/>
    </w:rPr>
  </w:style>
  <w:style w:type="paragraph" w:customStyle="1" w:styleId="Rejstk">
    <w:name w:val="Rejstřík"/>
    <w:basedOn w:val="Normln"/>
    <w:uiPriority w:val="99"/>
    <w:rsid w:val="00AC071D"/>
    <w:pPr>
      <w:suppressLineNumbers/>
    </w:pPr>
    <w:rPr>
      <w:rFonts w:cs="Tahoma"/>
    </w:rPr>
  </w:style>
  <w:style w:type="paragraph" w:styleId="Zpat">
    <w:name w:val="footer"/>
    <w:basedOn w:val="Normln"/>
    <w:link w:val="ZpatChar"/>
    <w:uiPriority w:val="99"/>
    <w:semiHidden/>
    <w:rsid w:val="00AC071D"/>
    <w:rPr>
      <w:sz w:val="24"/>
    </w:rPr>
  </w:style>
  <w:style w:type="character" w:customStyle="1" w:styleId="ZpatChar">
    <w:name w:val="Zápatí Char"/>
    <w:link w:val="Zpat"/>
    <w:uiPriority w:val="99"/>
    <w:semiHidden/>
    <w:rsid w:val="00CD2FCF"/>
    <w:rPr>
      <w:sz w:val="20"/>
      <w:szCs w:val="20"/>
      <w:lang w:eastAsia="ar-SA"/>
    </w:rPr>
  </w:style>
  <w:style w:type="paragraph" w:styleId="Zhlav">
    <w:name w:val="header"/>
    <w:basedOn w:val="Normln"/>
    <w:link w:val="ZhlavChar"/>
    <w:uiPriority w:val="99"/>
    <w:semiHidden/>
    <w:rsid w:val="00AC071D"/>
  </w:style>
  <w:style w:type="character" w:customStyle="1" w:styleId="ZhlavChar">
    <w:name w:val="Záhlaví Char"/>
    <w:link w:val="Zhlav"/>
    <w:uiPriority w:val="99"/>
    <w:semiHidden/>
    <w:rsid w:val="00CD2FCF"/>
    <w:rPr>
      <w:sz w:val="20"/>
      <w:szCs w:val="20"/>
      <w:lang w:eastAsia="ar-SA"/>
    </w:rPr>
  </w:style>
  <w:style w:type="paragraph" w:customStyle="1" w:styleId="Rozvrendokumentu1">
    <w:name w:val="Rozvržení dokumentu1"/>
    <w:basedOn w:val="Normln"/>
    <w:uiPriority w:val="99"/>
    <w:rsid w:val="00AC071D"/>
    <w:pPr>
      <w:shd w:val="clear" w:color="auto" w:fill="000080"/>
    </w:pPr>
    <w:rPr>
      <w:rFonts w:ascii="Tahoma" w:hAnsi="Tahoma" w:cs="Tahoma"/>
    </w:rPr>
  </w:style>
  <w:style w:type="paragraph" w:styleId="Normlnweb">
    <w:name w:val="Normal (Web)"/>
    <w:basedOn w:val="Normln"/>
    <w:uiPriority w:val="99"/>
    <w:rsid w:val="00AC071D"/>
    <w:pPr>
      <w:spacing w:before="100" w:after="119"/>
    </w:pPr>
    <w:rPr>
      <w:sz w:val="24"/>
      <w:szCs w:val="24"/>
    </w:rPr>
  </w:style>
  <w:style w:type="paragraph" w:customStyle="1" w:styleId="Zkladntext31">
    <w:name w:val="Základní text 31"/>
    <w:basedOn w:val="Normln"/>
    <w:uiPriority w:val="99"/>
    <w:rsid w:val="00AC071D"/>
    <w:pPr>
      <w:autoSpaceDE w:val="0"/>
      <w:spacing w:line="312" w:lineRule="auto"/>
    </w:pPr>
    <w:rPr>
      <w:rFonts w:ascii="Arial" w:hAnsi="Arial" w:cs="Arial"/>
      <w:szCs w:val="24"/>
    </w:rPr>
  </w:style>
  <w:style w:type="paragraph" w:customStyle="1" w:styleId="Prosttext1">
    <w:name w:val="Prostý text1"/>
    <w:basedOn w:val="Normln"/>
    <w:uiPriority w:val="99"/>
    <w:rsid w:val="00AC071D"/>
    <w:rPr>
      <w:rFonts w:ascii="Verdana" w:hAnsi="Verdana"/>
      <w:sz w:val="18"/>
      <w:szCs w:val="21"/>
    </w:rPr>
  </w:style>
  <w:style w:type="paragraph" w:customStyle="1" w:styleId="Obsahrmce">
    <w:name w:val="Obsah rámce"/>
    <w:basedOn w:val="Zkladntext"/>
    <w:uiPriority w:val="99"/>
    <w:rsid w:val="00AC071D"/>
  </w:style>
  <w:style w:type="paragraph" w:customStyle="1" w:styleId="Zkladntext21">
    <w:name w:val="Základní text 21"/>
    <w:basedOn w:val="Normln"/>
    <w:uiPriority w:val="99"/>
    <w:rsid w:val="00AC071D"/>
    <w:pPr>
      <w:suppressAutoHyphens w:val="0"/>
      <w:overflowPunct w:val="0"/>
      <w:autoSpaceDE w:val="0"/>
    </w:pPr>
    <w:rPr>
      <w:rFonts w:ascii="Arial" w:hAnsi="Arial"/>
      <w:sz w:val="24"/>
    </w:rPr>
  </w:style>
  <w:style w:type="paragraph" w:styleId="Odstavecseseznamem">
    <w:name w:val="List Paragraph"/>
    <w:basedOn w:val="Normln"/>
    <w:uiPriority w:val="99"/>
    <w:qFormat/>
    <w:rsid w:val="00AC071D"/>
    <w:pPr>
      <w:suppressAutoHyphens w:val="0"/>
      <w:spacing w:before="100" w:after="100"/>
    </w:pPr>
    <w:rPr>
      <w:sz w:val="24"/>
      <w:szCs w:val="24"/>
    </w:rPr>
  </w:style>
  <w:style w:type="paragraph" w:styleId="FormtovanvHTML">
    <w:name w:val="HTML Preformatted"/>
    <w:basedOn w:val="Normln"/>
    <w:link w:val="FormtovanvHTMLChar1"/>
    <w:uiPriority w:val="99"/>
    <w:rsid w:val="00AC0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FormtovanvHTMLChar1">
    <w:name w:val="Formátovaný v HTML Char1"/>
    <w:link w:val="FormtovanvHTML"/>
    <w:uiPriority w:val="99"/>
    <w:semiHidden/>
    <w:rsid w:val="00CD2FCF"/>
    <w:rPr>
      <w:rFonts w:ascii="Courier New" w:hAnsi="Courier New" w:cs="Courier New"/>
      <w:sz w:val="20"/>
      <w:szCs w:val="20"/>
      <w:lang w:eastAsia="ar-SA"/>
    </w:rPr>
  </w:style>
  <w:style w:type="paragraph" w:customStyle="1" w:styleId="actiondate">
    <w:name w:val="action_date"/>
    <w:basedOn w:val="Normln"/>
    <w:uiPriority w:val="99"/>
    <w:rsid w:val="00A61AB3"/>
    <w:pPr>
      <w:suppressAutoHyphens w:val="0"/>
      <w:spacing w:before="100" w:beforeAutospacing="1" w:after="100" w:afterAutospacing="1"/>
    </w:pPr>
    <w:rPr>
      <w:sz w:val="24"/>
      <w:szCs w:val="24"/>
      <w:lang w:eastAsia="cs-CZ"/>
    </w:rPr>
  </w:style>
  <w:style w:type="character" w:customStyle="1" w:styleId="apple-tab-span">
    <w:name w:val="apple-tab-span"/>
    <w:basedOn w:val="Standardnpsmoodstavce"/>
    <w:rsid w:val="00263163"/>
  </w:style>
  <w:style w:type="character" w:styleId="Sledovanodkaz">
    <w:name w:val="FollowedHyperlink"/>
    <w:uiPriority w:val="99"/>
    <w:semiHidden/>
    <w:unhideWhenUsed/>
    <w:rsid w:val="00972FE1"/>
    <w:rPr>
      <w:color w:val="800080"/>
      <w:u w:val="single"/>
    </w:rPr>
  </w:style>
  <w:style w:type="paragraph" w:customStyle="1" w:styleId="Style1">
    <w:name w:val="Style1"/>
    <w:basedOn w:val="Normln"/>
    <w:rsid w:val="0053011B"/>
    <w:pPr>
      <w:suppressAutoHyphens w:val="0"/>
      <w:jc w:val="both"/>
    </w:pPr>
    <w:rPr>
      <w:rFonts w:ascii="Arial" w:hAnsi="Arial" w:cs="Arial"/>
      <w:color w:val="575757"/>
      <w:sz w:val="16"/>
      <w:szCs w:val="16"/>
      <w:lang w:eastAsia="en-US"/>
    </w:rPr>
  </w:style>
  <w:style w:type="paragraph" w:styleId="Rozloendokumentu">
    <w:name w:val="Document Map"/>
    <w:basedOn w:val="Normln"/>
    <w:link w:val="RozloendokumentuChar"/>
    <w:uiPriority w:val="99"/>
    <w:semiHidden/>
    <w:unhideWhenUsed/>
    <w:rsid w:val="009F3E55"/>
    <w:rPr>
      <w:rFonts w:ascii="Tahoma" w:hAnsi="Tahoma" w:cs="Tahoma"/>
      <w:sz w:val="16"/>
      <w:szCs w:val="16"/>
    </w:rPr>
  </w:style>
  <w:style w:type="character" w:customStyle="1" w:styleId="RozloendokumentuChar">
    <w:name w:val="Rozložení dokumentu Char"/>
    <w:link w:val="Rozloendokumentu"/>
    <w:uiPriority w:val="99"/>
    <w:semiHidden/>
    <w:rsid w:val="009F3E55"/>
    <w:rPr>
      <w:rFonts w:ascii="Tahoma" w:hAnsi="Tahoma" w:cs="Tahoma"/>
      <w:sz w:val="16"/>
      <w:szCs w:val="16"/>
      <w:lang w:eastAsia="ar-SA"/>
    </w:rPr>
  </w:style>
  <w:style w:type="character" w:customStyle="1" w:styleId="notranslate">
    <w:name w:val="notranslate"/>
    <w:rsid w:val="006E4D34"/>
  </w:style>
  <w:style w:type="paragraph" w:customStyle="1" w:styleId="bgcolor">
    <w:name w:val="bgcolor"/>
    <w:basedOn w:val="Normln"/>
    <w:uiPriority w:val="99"/>
    <w:rsid w:val="000D7BAE"/>
    <w:pPr>
      <w:suppressAutoHyphens w:val="0"/>
      <w:spacing w:before="100" w:beforeAutospacing="1" w:after="100" w:afterAutospacing="1"/>
    </w:pPr>
    <w:rPr>
      <w:sz w:val="24"/>
      <w:szCs w:val="24"/>
      <w:lang w:eastAsia="cs-CZ"/>
    </w:rPr>
  </w:style>
  <w:style w:type="character" w:customStyle="1" w:styleId="textsmaller">
    <w:name w:val="textsmaller"/>
    <w:rsid w:val="000D7BA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3637">
      <w:bodyDiv w:val="1"/>
      <w:marLeft w:val="0"/>
      <w:marRight w:val="0"/>
      <w:marTop w:val="0"/>
      <w:marBottom w:val="0"/>
      <w:divBdr>
        <w:top w:val="none" w:sz="0" w:space="0" w:color="auto"/>
        <w:left w:val="none" w:sz="0" w:space="0" w:color="auto"/>
        <w:bottom w:val="none" w:sz="0" w:space="0" w:color="auto"/>
        <w:right w:val="none" w:sz="0" w:space="0" w:color="auto"/>
      </w:divBdr>
    </w:div>
    <w:div w:id="791050793">
      <w:bodyDiv w:val="1"/>
      <w:marLeft w:val="0"/>
      <w:marRight w:val="0"/>
      <w:marTop w:val="0"/>
      <w:marBottom w:val="0"/>
      <w:divBdr>
        <w:top w:val="none" w:sz="0" w:space="0" w:color="auto"/>
        <w:left w:val="none" w:sz="0" w:space="0" w:color="auto"/>
        <w:bottom w:val="none" w:sz="0" w:space="0" w:color="auto"/>
        <w:right w:val="none" w:sz="0" w:space="0" w:color="auto"/>
      </w:divBdr>
    </w:div>
    <w:div w:id="833179645">
      <w:bodyDiv w:val="1"/>
      <w:marLeft w:val="0"/>
      <w:marRight w:val="0"/>
      <w:marTop w:val="0"/>
      <w:marBottom w:val="0"/>
      <w:divBdr>
        <w:top w:val="none" w:sz="0" w:space="0" w:color="auto"/>
        <w:left w:val="none" w:sz="0" w:space="0" w:color="auto"/>
        <w:bottom w:val="none" w:sz="0" w:space="0" w:color="auto"/>
        <w:right w:val="none" w:sz="0" w:space="0" w:color="auto"/>
      </w:divBdr>
      <w:divsChild>
        <w:div w:id="281151853">
          <w:marLeft w:val="0"/>
          <w:marRight w:val="0"/>
          <w:marTop w:val="0"/>
          <w:marBottom w:val="0"/>
          <w:divBdr>
            <w:top w:val="none" w:sz="0" w:space="0" w:color="auto"/>
            <w:left w:val="none" w:sz="0" w:space="0" w:color="auto"/>
            <w:bottom w:val="none" w:sz="0" w:space="0" w:color="auto"/>
            <w:right w:val="none" w:sz="0" w:space="0" w:color="auto"/>
          </w:divBdr>
          <w:divsChild>
            <w:div w:id="1914004634">
              <w:marLeft w:val="0"/>
              <w:marRight w:val="0"/>
              <w:marTop w:val="0"/>
              <w:marBottom w:val="0"/>
              <w:divBdr>
                <w:top w:val="single" w:sz="6" w:space="0" w:color="333333"/>
                <w:left w:val="single" w:sz="6" w:space="0" w:color="333333"/>
                <w:bottom w:val="single" w:sz="6" w:space="0" w:color="333333"/>
                <w:right w:val="single" w:sz="6" w:space="0" w:color="333333"/>
              </w:divBdr>
              <w:divsChild>
                <w:div w:id="757412290">
                  <w:marLeft w:val="0"/>
                  <w:marRight w:val="0"/>
                  <w:marTop w:val="0"/>
                  <w:marBottom w:val="0"/>
                  <w:divBdr>
                    <w:top w:val="none" w:sz="0" w:space="0" w:color="auto"/>
                    <w:left w:val="none" w:sz="0" w:space="0" w:color="auto"/>
                    <w:bottom w:val="none" w:sz="0" w:space="0" w:color="auto"/>
                    <w:right w:val="none" w:sz="0" w:space="0" w:color="auto"/>
                  </w:divBdr>
                  <w:divsChild>
                    <w:div w:id="2104375061">
                      <w:marLeft w:val="0"/>
                      <w:marRight w:val="0"/>
                      <w:marTop w:val="0"/>
                      <w:marBottom w:val="0"/>
                      <w:divBdr>
                        <w:top w:val="none" w:sz="0" w:space="0" w:color="auto"/>
                        <w:left w:val="none" w:sz="0" w:space="0" w:color="auto"/>
                        <w:bottom w:val="none" w:sz="0" w:space="0" w:color="auto"/>
                        <w:right w:val="none" w:sz="0" w:space="0" w:color="auto"/>
                      </w:divBdr>
                      <w:divsChild>
                        <w:div w:id="3541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97802">
      <w:bodyDiv w:val="1"/>
      <w:marLeft w:val="0"/>
      <w:marRight w:val="0"/>
      <w:marTop w:val="0"/>
      <w:marBottom w:val="0"/>
      <w:divBdr>
        <w:top w:val="none" w:sz="0" w:space="0" w:color="auto"/>
        <w:left w:val="none" w:sz="0" w:space="0" w:color="auto"/>
        <w:bottom w:val="none" w:sz="0" w:space="0" w:color="auto"/>
        <w:right w:val="none" w:sz="0" w:space="0" w:color="auto"/>
      </w:divBdr>
      <w:divsChild>
        <w:div w:id="1017926143">
          <w:marLeft w:val="0"/>
          <w:marRight w:val="0"/>
          <w:marTop w:val="0"/>
          <w:marBottom w:val="0"/>
          <w:divBdr>
            <w:top w:val="none" w:sz="0" w:space="0" w:color="auto"/>
            <w:left w:val="none" w:sz="0" w:space="0" w:color="auto"/>
            <w:bottom w:val="none" w:sz="0" w:space="0" w:color="auto"/>
            <w:right w:val="none" w:sz="0" w:space="0" w:color="auto"/>
          </w:divBdr>
          <w:divsChild>
            <w:div w:id="2141343077">
              <w:marLeft w:val="0"/>
              <w:marRight w:val="0"/>
              <w:marTop w:val="0"/>
              <w:marBottom w:val="0"/>
              <w:divBdr>
                <w:top w:val="none" w:sz="0" w:space="0" w:color="auto"/>
                <w:left w:val="none" w:sz="0" w:space="0" w:color="auto"/>
                <w:bottom w:val="none" w:sz="0" w:space="0" w:color="auto"/>
                <w:right w:val="none" w:sz="0" w:space="0" w:color="auto"/>
              </w:divBdr>
              <w:divsChild>
                <w:div w:id="1046679536">
                  <w:marLeft w:val="0"/>
                  <w:marRight w:val="0"/>
                  <w:marTop w:val="0"/>
                  <w:marBottom w:val="0"/>
                  <w:divBdr>
                    <w:top w:val="none" w:sz="0" w:space="0" w:color="auto"/>
                    <w:left w:val="none" w:sz="0" w:space="0" w:color="auto"/>
                    <w:bottom w:val="none" w:sz="0" w:space="0" w:color="auto"/>
                    <w:right w:val="none" w:sz="0" w:space="0" w:color="auto"/>
                  </w:divBdr>
                  <w:divsChild>
                    <w:div w:id="1465584495">
                      <w:marLeft w:val="0"/>
                      <w:marRight w:val="0"/>
                      <w:marTop w:val="0"/>
                      <w:marBottom w:val="0"/>
                      <w:divBdr>
                        <w:top w:val="none" w:sz="0" w:space="0" w:color="auto"/>
                        <w:left w:val="none" w:sz="0" w:space="0" w:color="auto"/>
                        <w:bottom w:val="none" w:sz="0" w:space="0" w:color="auto"/>
                        <w:right w:val="none" w:sz="0" w:space="0" w:color="auto"/>
                      </w:divBdr>
                      <w:divsChild>
                        <w:div w:id="2143034252">
                          <w:marLeft w:val="0"/>
                          <w:marRight w:val="0"/>
                          <w:marTop w:val="0"/>
                          <w:marBottom w:val="0"/>
                          <w:divBdr>
                            <w:top w:val="none" w:sz="0" w:space="0" w:color="auto"/>
                            <w:left w:val="none" w:sz="0" w:space="0" w:color="auto"/>
                            <w:bottom w:val="none" w:sz="0" w:space="0" w:color="auto"/>
                            <w:right w:val="none" w:sz="0" w:space="0" w:color="auto"/>
                          </w:divBdr>
                          <w:divsChild>
                            <w:div w:id="7030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89492">
      <w:bodyDiv w:val="1"/>
      <w:marLeft w:val="0"/>
      <w:marRight w:val="0"/>
      <w:marTop w:val="0"/>
      <w:marBottom w:val="0"/>
      <w:divBdr>
        <w:top w:val="none" w:sz="0" w:space="0" w:color="auto"/>
        <w:left w:val="none" w:sz="0" w:space="0" w:color="auto"/>
        <w:bottom w:val="none" w:sz="0" w:space="0" w:color="auto"/>
        <w:right w:val="none" w:sz="0" w:space="0" w:color="auto"/>
      </w:divBdr>
    </w:div>
    <w:div w:id="1714227243">
      <w:marLeft w:val="0"/>
      <w:marRight w:val="0"/>
      <w:marTop w:val="0"/>
      <w:marBottom w:val="0"/>
      <w:divBdr>
        <w:top w:val="none" w:sz="0" w:space="0" w:color="auto"/>
        <w:left w:val="none" w:sz="0" w:space="0" w:color="auto"/>
        <w:bottom w:val="none" w:sz="0" w:space="0" w:color="auto"/>
        <w:right w:val="none" w:sz="0" w:space="0" w:color="auto"/>
      </w:divBdr>
    </w:div>
    <w:div w:id="1714227244">
      <w:marLeft w:val="0"/>
      <w:marRight w:val="0"/>
      <w:marTop w:val="0"/>
      <w:marBottom w:val="0"/>
      <w:divBdr>
        <w:top w:val="none" w:sz="0" w:space="0" w:color="auto"/>
        <w:left w:val="none" w:sz="0" w:space="0" w:color="auto"/>
        <w:bottom w:val="none" w:sz="0" w:space="0" w:color="auto"/>
        <w:right w:val="none" w:sz="0" w:space="0" w:color="auto"/>
      </w:divBdr>
    </w:div>
    <w:div w:id="1772242811">
      <w:bodyDiv w:val="1"/>
      <w:marLeft w:val="0"/>
      <w:marRight w:val="0"/>
      <w:marTop w:val="0"/>
      <w:marBottom w:val="0"/>
      <w:divBdr>
        <w:top w:val="none" w:sz="0" w:space="0" w:color="auto"/>
        <w:left w:val="none" w:sz="0" w:space="0" w:color="auto"/>
        <w:bottom w:val="none" w:sz="0" w:space="0" w:color="auto"/>
        <w:right w:val="none" w:sz="0" w:space="0" w:color="auto"/>
      </w:divBdr>
    </w:div>
    <w:div w:id="1909802774">
      <w:bodyDiv w:val="1"/>
      <w:marLeft w:val="0"/>
      <w:marRight w:val="0"/>
      <w:marTop w:val="0"/>
      <w:marBottom w:val="0"/>
      <w:divBdr>
        <w:top w:val="none" w:sz="0" w:space="0" w:color="auto"/>
        <w:left w:val="none" w:sz="0" w:space="0" w:color="auto"/>
        <w:bottom w:val="none" w:sz="0" w:space="0" w:color="auto"/>
        <w:right w:val="none" w:sz="0" w:space="0" w:color="auto"/>
      </w:divBdr>
    </w:div>
    <w:div w:id="20314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telc.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F2BEB-418A-4F7D-ADEE-3F459090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1386</Words>
  <Characters>8181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tisková zpráva</vt:lpstr>
    </vt:vector>
  </TitlesOfParts>
  <Company>NPÚ ÚOP v Telči</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NPU UOP Telc</dc:creator>
  <cp:keywords/>
  <dc:description/>
  <cp:lastModifiedBy>Ilona Ampapová</cp:lastModifiedBy>
  <cp:revision>18</cp:revision>
  <cp:lastPrinted>2013-05-06T07:13:00Z</cp:lastPrinted>
  <dcterms:created xsi:type="dcterms:W3CDTF">2014-12-19T10:34:00Z</dcterms:created>
  <dcterms:modified xsi:type="dcterms:W3CDTF">2014-12-30T20:37:00Z</dcterms:modified>
</cp:coreProperties>
</file>