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3B" w:rsidRDefault="007D7A3B" w:rsidP="00854A0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854A00" w:rsidRDefault="00854A00" w:rsidP="00854A00">
      <w:pPr>
        <w:autoSpaceDE w:val="0"/>
        <w:autoSpaceDN w:val="0"/>
        <w:adjustRightInd w:val="0"/>
        <w:spacing w:after="120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854A00" w:rsidRDefault="00813422" w:rsidP="00854A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Jihočeské památky</w:t>
      </w:r>
      <w:r w:rsidR="00B24529">
        <w:rPr>
          <w:rFonts w:ascii="Arial" w:hAnsi="Arial" w:cs="Arial"/>
          <w:b/>
          <w:bCs/>
          <w:color w:val="999999"/>
          <w:sz w:val="34"/>
          <w:szCs w:val="32"/>
        </w:rPr>
        <w:t xml:space="preserve"> patří k nejnavštěvovanějším v zemi – brány mnohých z nich se otvírají po celou zimu nebo alespoň během adventu a Vánoc</w:t>
      </w:r>
    </w:p>
    <w:p w:rsidR="00854A00" w:rsidRDefault="00854A00" w:rsidP="00854A00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 26. 10. 2016</w:t>
      </w:r>
    </w:p>
    <w:bookmarkEnd w:id="0"/>
    <w:p w:rsidR="00813422" w:rsidRDefault="00813422" w:rsidP="00854A0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Návštěvnost na jihočeských památkách, které spravuje Národní památkový ústav v </w:t>
      </w:r>
      <w:r w:rsidR="0034638F">
        <w:rPr>
          <w:rFonts w:ascii="Arial" w:hAnsi="Arial" w:cs="Arial"/>
          <w:b/>
          <w:bCs/>
          <w:sz w:val="20"/>
          <w:szCs w:val="20"/>
        </w:rPr>
        <w:t>Č</w:t>
      </w:r>
      <w:r>
        <w:rPr>
          <w:rFonts w:ascii="Arial" w:hAnsi="Arial" w:cs="Arial"/>
          <w:b/>
          <w:bCs/>
          <w:sz w:val="20"/>
          <w:szCs w:val="20"/>
        </w:rPr>
        <w:t>eských Budějovicích</w:t>
      </w:r>
      <w:r w:rsidR="00B24529">
        <w:rPr>
          <w:rFonts w:ascii="Arial" w:hAnsi="Arial" w:cs="Arial"/>
          <w:b/>
          <w:bCs/>
          <w:sz w:val="20"/>
          <w:szCs w:val="20"/>
        </w:rPr>
        <w:t>,</w:t>
      </w:r>
      <w:r w:rsidR="0034638F">
        <w:rPr>
          <w:rFonts w:ascii="Arial" w:hAnsi="Arial" w:cs="Arial"/>
          <w:b/>
          <w:bCs/>
          <w:sz w:val="20"/>
          <w:szCs w:val="20"/>
        </w:rPr>
        <w:t xml:space="preserve"> rok od roku roste. </w:t>
      </w:r>
      <w:r w:rsidR="00B24529">
        <w:rPr>
          <w:rFonts w:ascii="Arial" w:hAnsi="Arial" w:cs="Arial"/>
          <w:b/>
          <w:bCs/>
          <w:sz w:val="20"/>
          <w:szCs w:val="20"/>
        </w:rPr>
        <w:t>Miliontý návštěvník prošel oproti loňskému roku</w:t>
      </w:r>
      <w:r w:rsidR="00356E66">
        <w:rPr>
          <w:rFonts w:ascii="Arial" w:hAnsi="Arial" w:cs="Arial"/>
          <w:b/>
          <w:bCs/>
          <w:sz w:val="20"/>
          <w:szCs w:val="20"/>
        </w:rPr>
        <w:t xml:space="preserve"> jejich</w:t>
      </w:r>
      <w:r w:rsidR="00B24529">
        <w:rPr>
          <w:rFonts w:ascii="Arial" w:hAnsi="Arial" w:cs="Arial"/>
          <w:b/>
          <w:bCs/>
          <w:sz w:val="20"/>
          <w:szCs w:val="20"/>
        </w:rPr>
        <w:t xml:space="preserve"> branami již v průběhu měsíce září. Kromě </w:t>
      </w:r>
      <w:r w:rsidR="003418F8">
        <w:rPr>
          <w:rFonts w:ascii="Arial" w:hAnsi="Arial" w:cs="Arial"/>
          <w:b/>
          <w:bCs/>
          <w:sz w:val="20"/>
          <w:szCs w:val="20"/>
        </w:rPr>
        <w:t>zájemců o klasické prohlídkové trasy lákají památky během sezóny na více než</w:t>
      </w:r>
      <w:r w:rsidR="00FF0BC1">
        <w:rPr>
          <w:rFonts w:ascii="Arial" w:hAnsi="Arial" w:cs="Arial"/>
          <w:b/>
          <w:bCs/>
          <w:sz w:val="20"/>
          <w:szCs w:val="20"/>
        </w:rPr>
        <w:t xml:space="preserve"> pět stovek kulturních akcí a zůstávají oblíbeným místem k uzavírání sňatků. S koncem hlavní návštěvnické sezóny se o slovo hlásí zimní prohlídkové trasy, k jejichž návštěvě vybízejí zámky Hluboká a Třeboň, hrady Rožmberk a Nové Hrady a unikátní Hradní muzeum v Českém Krumlově. Všechny památky musí zároveň projít velkým posezónním úklidem a pomalu se připravovat na další hlavní návštěvnickou sezónu. </w:t>
      </w:r>
    </w:p>
    <w:p w:rsidR="00B24529" w:rsidRDefault="00B24529" w:rsidP="00854A0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854A00" w:rsidRPr="00EC4C36" w:rsidRDefault="00854A00" w:rsidP="00854A00">
      <w:pPr>
        <w:spacing w:after="120"/>
        <w:jc w:val="both"/>
        <w:rPr>
          <w:rFonts w:ascii="Arial" w:hAnsi="Arial" w:cs="Arial"/>
          <w:b/>
          <w:bCs/>
          <w:sz w:val="22"/>
          <w:szCs w:val="20"/>
        </w:rPr>
      </w:pPr>
      <w:r w:rsidRPr="00EC4C36">
        <w:rPr>
          <w:rFonts w:ascii="Arial" w:hAnsi="Arial" w:cs="Arial"/>
          <w:b/>
          <w:bCs/>
          <w:sz w:val="22"/>
          <w:szCs w:val="20"/>
        </w:rPr>
        <w:t>Zhodnocení hlavní návštěvnické sezóny 201</w:t>
      </w:r>
      <w:r w:rsidR="00813422">
        <w:rPr>
          <w:rFonts w:ascii="Arial" w:hAnsi="Arial" w:cs="Arial"/>
          <w:b/>
          <w:bCs/>
          <w:sz w:val="22"/>
          <w:szCs w:val="20"/>
        </w:rPr>
        <w:t>6</w:t>
      </w:r>
    </w:p>
    <w:p w:rsidR="00322679" w:rsidRDefault="000A7D06" w:rsidP="0032267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Hlavní návštěvnická sezóna na památkách, které v Jihočeském kraji spravuje Národní památkový ústav, územní památková správa v Českých Budějovicích, byla velmi úspěšná. „Ve srovnání s loňským rokem za stejné časové období prošlo </w:t>
      </w:r>
      <w:r w:rsidRPr="00322679">
        <w:rPr>
          <w:rFonts w:ascii="Arial" w:hAnsi="Arial" w:cs="Arial"/>
          <w:b/>
          <w:sz w:val="20"/>
          <w:szCs w:val="20"/>
        </w:rPr>
        <w:t>do poloviny října</w:t>
      </w:r>
      <w:r>
        <w:rPr>
          <w:rFonts w:ascii="Arial" w:hAnsi="Arial" w:cs="Arial"/>
          <w:sz w:val="20"/>
          <w:szCs w:val="20"/>
        </w:rPr>
        <w:t xml:space="preserve"> jejich branami </w:t>
      </w:r>
      <w:r w:rsidRPr="00322679">
        <w:rPr>
          <w:rFonts w:ascii="Arial" w:hAnsi="Arial" w:cs="Arial"/>
          <w:b/>
          <w:sz w:val="20"/>
          <w:szCs w:val="20"/>
        </w:rPr>
        <w:t>1 143 858</w:t>
      </w:r>
      <w:r>
        <w:rPr>
          <w:rFonts w:ascii="Arial" w:hAnsi="Arial" w:cs="Arial"/>
          <w:sz w:val="20"/>
          <w:szCs w:val="20"/>
        </w:rPr>
        <w:t xml:space="preserve"> </w:t>
      </w:r>
      <w:r w:rsidR="00322679">
        <w:rPr>
          <w:rFonts w:ascii="Arial" w:hAnsi="Arial" w:cs="Arial"/>
          <w:sz w:val="20"/>
          <w:szCs w:val="20"/>
        </w:rPr>
        <w:t xml:space="preserve">platících </w:t>
      </w:r>
      <w:r>
        <w:rPr>
          <w:rFonts w:ascii="Arial" w:hAnsi="Arial" w:cs="Arial"/>
          <w:sz w:val="20"/>
          <w:szCs w:val="20"/>
        </w:rPr>
        <w:t xml:space="preserve">návštěvníků,“ vyzdvihuje Petr Pavelec, </w:t>
      </w:r>
      <w:r w:rsidRPr="00B27C6A">
        <w:rPr>
          <w:rFonts w:ascii="Arial" w:hAnsi="Arial" w:cs="Arial"/>
          <w:sz w:val="20"/>
          <w:szCs w:val="20"/>
        </w:rPr>
        <w:t>ředitel</w:t>
      </w:r>
      <w:r>
        <w:rPr>
          <w:rFonts w:ascii="Arial" w:hAnsi="Arial" w:cs="Arial"/>
          <w:sz w:val="20"/>
          <w:szCs w:val="20"/>
        </w:rPr>
        <w:t xml:space="preserve"> Územní památkové správy Národního památkového ústavu v Českých Budějovicích</w:t>
      </w:r>
      <w:r w:rsidRPr="00B27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(NPÚ ÚPS ČB) a dodává, že „výnosy ze vstupného již přesáhly hranici 100 milionů Kč.“ Celková návštěvnost ještě do konce kalendářního roku poroste, protože pět památek funguje celoročně.</w:t>
      </w:r>
      <w:r w:rsidR="00322679">
        <w:rPr>
          <w:rFonts w:ascii="Arial" w:hAnsi="Arial" w:cs="Arial"/>
          <w:sz w:val="20"/>
          <w:szCs w:val="20"/>
        </w:rPr>
        <w:t xml:space="preserve"> (</w:t>
      </w:r>
      <w:r w:rsidR="00322679" w:rsidRPr="00AC338E">
        <w:rPr>
          <w:rFonts w:ascii="Arial" w:hAnsi="Arial" w:cs="Arial"/>
          <w:b/>
          <w:sz w:val="20"/>
          <w:szCs w:val="20"/>
        </w:rPr>
        <w:t>viz Příloha č. 1</w:t>
      </w:r>
      <w:r w:rsidR="00322679">
        <w:rPr>
          <w:rFonts w:ascii="Arial" w:hAnsi="Arial" w:cs="Arial"/>
          <w:sz w:val="20"/>
          <w:szCs w:val="20"/>
        </w:rPr>
        <w:t>) V rámci působnosti Územní památkové správy v Českých Budějovicích, která pečuje o památky v krajích Jihočeském, Plzeňském a Vysočina, se o deset procent zvýšila i souhrnná návštěvnost a dosáhla tak celkového počtu 1 559 558 osob. (</w:t>
      </w:r>
      <w:r w:rsidR="00322679" w:rsidRPr="00AC338E">
        <w:rPr>
          <w:rFonts w:ascii="Arial" w:hAnsi="Arial" w:cs="Arial"/>
          <w:b/>
          <w:sz w:val="20"/>
          <w:szCs w:val="20"/>
        </w:rPr>
        <w:t>viz Příloha č. 2</w:t>
      </w:r>
      <w:r w:rsidR="00322679">
        <w:rPr>
          <w:rFonts w:ascii="Arial" w:hAnsi="Arial" w:cs="Arial"/>
          <w:sz w:val="20"/>
          <w:szCs w:val="20"/>
        </w:rPr>
        <w:t>)</w:t>
      </w:r>
    </w:p>
    <w:p w:rsidR="00854A00" w:rsidRDefault="00854A00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Během října zůstává </w:t>
      </w:r>
      <w:r w:rsidRPr="00605549">
        <w:rPr>
          <w:rFonts w:ascii="Arial" w:hAnsi="Arial" w:cs="Arial"/>
          <w:b/>
          <w:sz w:val="20"/>
          <w:szCs w:val="20"/>
        </w:rPr>
        <w:t>celotýdenní provoz</w:t>
      </w:r>
      <w:r>
        <w:rPr>
          <w:rFonts w:ascii="Arial" w:hAnsi="Arial" w:cs="Arial"/>
          <w:sz w:val="20"/>
          <w:szCs w:val="20"/>
        </w:rPr>
        <w:t>, vyjma pondělků, na více než polovině jihočeských památek (</w:t>
      </w:r>
      <w:r w:rsidRPr="00322679">
        <w:rPr>
          <w:rFonts w:ascii="Arial" w:hAnsi="Arial" w:cs="Arial"/>
          <w:b/>
          <w:sz w:val="20"/>
          <w:szCs w:val="20"/>
        </w:rPr>
        <w:t>Český Krumlov, Hluboká, Jindřichův Hradec, Nové Hrady, Rožmberk, Třeboň a Zlatá Koruna</w:t>
      </w:r>
      <w:r>
        <w:rPr>
          <w:rFonts w:ascii="Arial" w:hAnsi="Arial" w:cs="Arial"/>
          <w:sz w:val="20"/>
          <w:szCs w:val="20"/>
        </w:rPr>
        <w:t>), ostatní památky otevírají jen o víkendech a v den státního svátku.</w:t>
      </w:r>
      <w:r w:rsidR="00322679">
        <w:rPr>
          <w:rFonts w:ascii="Arial" w:hAnsi="Arial" w:cs="Arial"/>
          <w:sz w:val="20"/>
          <w:szCs w:val="20"/>
        </w:rPr>
        <w:t xml:space="preserve"> Letos navíc otevřou ve dnech </w:t>
      </w:r>
      <w:r w:rsidR="00322679" w:rsidRPr="00322679">
        <w:rPr>
          <w:rFonts w:ascii="Arial" w:hAnsi="Arial" w:cs="Arial"/>
          <w:b/>
          <w:sz w:val="20"/>
          <w:szCs w:val="20"/>
        </w:rPr>
        <w:t>podzimních prázdnin</w:t>
      </w:r>
      <w:r w:rsidR="00322679">
        <w:rPr>
          <w:rFonts w:ascii="Arial" w:hAnsi="Arial" w:cs="Arial"/>
          <w:sz w:val="20"/>
          <w:szCs w:val="20"/>
        </w:rPr>
        <w:t xml:space="preserve"> také zámek </w:t>
      </w:r>
      <w:r w:rsidR="00322679" w:rsidRPr="00322679">
        <w:rPr>
          <w:rFonts w:ascii="Arial" w:hAnsi="Arial" w:cs="Arial"/>
          <w:b/>
          <w:sz w:val="20"/>
          <w:szCs w:val="20"/>
        </w:rPr>
        <w:t>Dačice</w:t>
      </w:r>
      <w:r w:rsidR="00322679">
        <w:rPr>
          <w:rFonts w:ascii="Arial" w:hAnsi="Arial" w:cs="Arial"/>
          <w:sz w:val="20"/>
          <w:szCs w:val="20"/>
        </w:rPr>
        <w:t xml:space="preserve"> a hrad </w:t>
      </w:r>
      <w:r w:rsidR="00322679" w:rsidRPr="00322679">
        <w:rPr>
          <w:rFonts w:ascii="Arial" w:hAnsi="Arial" w:cs="Arial"/>
          <w:b/>
          <w:sz w:val="20"/>
          <w:szCs w:val="20"/>
        </w:rPr>
        <w:t>Landštejn</w:t>
      </w:r>
      <w:r w:rsidR="0032267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Stejně jako v loňském roce budou mít v </w:t>
      </w:r>
      <w:r w:rsidR="00322679" w:rsidRPr="00322679">
        <w:rPr>
          <w:rFonts w:ascii="Arial" w:hAnsi="Arial" w:cs="Arial"/>
          <w:b/>
          <w:sz w:val="20"/>
          <w:szCs w:val="20"/>
        </w:rPr>
        <w:t>pátek</w:t>
      </w:r>
      <w:r w:rsidRPr="00322679">
        <w:rPr>
          <w:rFonts w:ascii="Arial" w:hAnsi="Arial" w:cs="Arial"/>
          <w:b/>
          <w:sz w:val="20"/>
          <w:szCs w:val="20"/>
        </w:rPr>
        <w:t xml:space="preserve"> 28. října 201</w:t>
      </w:r>
      <w:r w:rsidR="00322679" w:rsidRPr="00322679">
        <w:rPr>
          <w:rFonts w:ascii="Arial" w:hAnsi="Arial" w:cs="Arial"/>
          <w:b/>
          <w:sz w:val="20"/>
          <w:szCs w:val="20"/>
        </w:rPr>
        <w:t>6</w:t>
      </w:r>
      <w:r w:rsidRPr="00605549">
        <w:rPr>
          <w:rFonts w:ascii="Arial" w:hAnsi="Arial" w:cs="Arial"/>
          <w:sz w:val="20"/>
          <w:szCs w:val="20"/>
        </w:rPr>
        <w:t xml:space="preserve"> </w:t>
      </w:r>
      <w:r w:rsidRPr="00322679">
        <w:rPr>
          <w:rFonts w:ascii="Arial" w:hAnsi="Arial" w:cs="Arial"/>
          <w:b/>
          <w:sz w:val="20"/>
          <w:szCs w:val="20"/>
        </w:rPr>
        <w:t>děti a návštěvníci mladší 18 let</w:t>
      </w:r>
      <w:r w:rsidRPr="00605549">
        <w:rPr>
          <w:rFonts w:ascii="Arial" w:hAnsi="Arial" w:cs="Arial"/>
          <w:sz w:val="20"/>
          <w:szCs w:val="20"/>
        </w:rPr>
        <w:t xml:space="preserve"> </w:t>
      </w:r>
      <w:r w:rsidRPr="00142F39">
        <w:rPr>
          <w:rFonts w:ascii="Arial" w:hAnsi="Arial" w:cs="Arial"/>
          <w:b/>
          <w:sz w:val="20"/>
          <w:szCs w:val="20"/>
        </w:rPr>
        <w:t>vstup</w:t>
      </w:r>
      <w:r w:rsidRPr="00605549">
        <w:rPr>
          <w:rFonts w:ascii="Arial" w:hAnsi="Arial" w:cs="Arial"/>
          <w:sz w:val="20"/>
          <w:szCs w:val="20"/>
        </w:rPr>
        <w:t xml:space="preserve"> na základní prohlídkové trasy všech památek spravovaných Národním památkovým ústavem </w:t>
      </w:r>
      <w:r w:rsidRPr="00142F39">
        <w:rPr>
          <w:rFonts w:ascii="Arial" w:hAnsi="Arial" w:cs="Arial"/>
          <w:b/>
          <w:sz w:val="20"/>
          <w:szCs w:val="20"/>
        </w:rPr>
        <w:t>zdarma</w:t>
      </w:r>
      <w:r w:rsidRPr="00605549">
        <w:rPr>
          <w:rFonts w:ascii="Arial" w:hAnsi="Arial" w:cs="Arial"/>
          <w:sz w:val="20"/>
          <w:szCs w:val="20"/>
        </w:rPr>
        <w:t>.</w:t>
      </w:r>
    </w:p>
    <w:p w:rsidR="00854A00" w:rsidRDefault="00F57E07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t</w:t>
      </w:r>
      <w:r w:rsidR="00854A00">
        <w:rPr>
          <w:rFonts w:ascii="Arial" w:hAnsi="Arial" w:cs="Arial"/>
          <w:sz w:val="20"/>
          <w:szCs w:val="20"/>
        </w:rPr>
        <w:t xml:space="preserve">uristicky </w:t>
      </w:r>
      <w:r w:rsidR="00854A00" w:rsidRPr="00EF79A3">
        <w:rPr>
          <w:rFonts w:ascii="Arial" w:hAnsi="Arial" w:cs="Arial"/>
          <w:b/>
          <w:sz w:val="20"/>
          <w:szCs w:val="20"/>
        </w:rPr>
        <w:t>nejvyhledávanější</w:t>
      </w:r>
      <w:r>
        <w:rPr>
          <w:rFonts w:ascii="Arial" w:hAnsi="Arial" w:cs="Arial"/>
          <w:b/>
          <w:sz w:val="20"/>
          <w:szCs w:val="20"/>
        </w:rPr>
        <w:t>m památkám na jihu Čech neodmyslitelně patří neporazitelná</w:t>
      </w:r>
      <w:r w:rsidR="00854A00">
        <w:rPr>
          <w:rFonts w:ascii="Arial" w:hAnsi="Arial" w:cs="Arial"/>
          <w:b/>
          <w:sz w:val="20"/>
          <w:szCs w:val="20"/>
        </w:rPr>
        <w:t xml:space="preserve"> trojice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54A00">
        <w:rPr>
          <w:rFonts w:ascii="Arial" w:hAnsi="Arial" w:cs="Arial"/>
          <w:sz w:val="20"/>
          <w:szCs w:val="20"/>
        </w:rPr>
        <w:t xml:space="preserve">– hrad a zámek Český Krumlov a za ním zámky Hluboká a Červená Lhota. Ve srovnání s loňskem zaznamenal nejvyšší procentuální nárůst hrad </w:t>
      </w:r>
      <w:r>
        <w:rPr>
          <w:rFonts w:ascii="Arial" w:hAnsi="Arial" w:cs="Arial"/>
          <w:sz w:val="20"/>
          <w:szCs w:val="20"/>
        </w:rPr>
        <w:t>Landštejn, a to o 36</w:t>
      </w:r>
      <w:r w:rsidR="00854A00">
        <w:rPr>
          <w:rFonts w:ascii="Arial" w:hAnsi="Arial" w:cs="Arial"/>
          <w:sz w:val="20"/>
          <w:szCs w:val="20"/>
        </w:rPr>
        <w:t xml:space="preserve"> procent. S</w:t>
      </w:r>
      <w:r>
        <w:rPr>
          <w:rFonts w:ascii="Arial" w:hAnsi="Arial" w:cs="Arial"/>
          <w:sz w:val="20"/>
          <w:szCs w:val="20"/>
        </w:rPr>
        <w:t>e sedmadvacetiprocentním</w:t>
      </w:r>
      <w:r w:rsidR="00854A00">
        <w:rPr>
          <w:rFonts w:ascii="Arial" w:hAnsi="Arial" w:cs="Arial"/>
          <w:sz w:val="20"/>
          <w:szCs w:val="20"/>
        </w:rPr>
        <w:t xml:space="preserve"> nárůstem se může pochlubit </w:t>
      </w:r>
      <w:r>
        <w:rPr>
          <w:rFonts w:ascii="Arial" w:hAnsi="Arial" w:cs="Arial"/>
          <w:sz w:val="20"/>
          <w:szCs w:val="20"/>
        </w:rPr>
        <w:t>klášter Zlatá Koruna, kam se po téměř osmdesáti letech navrátila Zlatokorunská madona</w:t>
      </w:r>
      <w:r w:rsidR="00854A0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Více než desetiprocentní nárůst zájmu o prohlídky zaznamenaly také zámky Červená Lhota, Hluboká a Kratochvíle</w:t>
      </w:r>
      <w:r w:rsidR="00854A00">
        <w:rPr>
          <w:rFonts w:ascii="Arial" w:hAnsi="Arial" w:cs="Arial"/>
          <w:sz w:val="20"/>
          <w:szCs w:val="20"/>
        </w:rPr>
        <w:t>.</w:t>
      </w:r>
    </w:p>
    <w:p w:rsidR="00854A00" w:rsidRDefault="00854A00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Kromě návštěvníků placených prohlídkových tras využilo </w:t>
      </w:r>
      <w:r w:rsidR="0069310F">
        <w:rPr>
          <w:rFonts w:ascii="Arial" w:hAnsi="Arial" w:cs="Arial"/>
          <w:sz w:val="20"/>
          <w:szCs w:val="20"/>
        </w:rPr>
        <w:t xml:space="preserve">odhadem dalších dvě stě tisíc lidí </w:t>
      </w:r>
      <w:r>
        <w:rPr>
          <w:rFonts w:ascii="Arial" w:hAnsi="Arial" w:cs="Arial"/>
          <w:sz w:val="20"/>
          <w:szCs w:val="20"/>
        </w:rPr>
        <w:t xml:space="preserve">široké nabídky </w:t>
      </w:r>
      <w:r w:rsidRPr="00EF79A3">
        <w:rPr>
          <w:rFonts w:ascii="Arial" w:hAnsi="Arial" w:cs="Arial"/>
          <w:b/>
          <w:sz w:val="20"/>
          <w:szCs w:val="20"/>
        </w:rPr>
        <w:t>kulturních a společenských aktivit</w:t>
      </w:r>
      <w:r>
        <w:rPr>
          <w:rFonts w:ascii="Arial" w:hAnsi="Arial" w:cs="Arial"/>
          <w:sz w:val="20"/>
          <w:szCs w:val="20"/>
        </w:rPr>
        <w:t>, které téměř každodenně v</w:t>
      </w:r>
      <w:r w:rsidR="0069310F">
        <w:rPr>
          <w:rFonts w:ascii="Arial" w:hAnsi="Arial" w:cs="Arial"/>
          <w:sz w:val="20"/>
          <w:szCs w:val="20"/>
        </w:rPr>
        <w:t> </w:t>
      </w:r>
      <w:proofErr w:type="spellStart"/>
      <w:r>
        <w:rPr>
          <w:rFonts w:ascii="Arial" w:hAnsi="Arial" w:cs="Arial"/>
          <w:sz w:val="20"/>
          <w:szCs w:val="20"/>
        </w:rPr>
        <w:t>hradozámeckých</w:t>
      </w:r>
      <w:proofErr w:type="spellEnd"/>
      <w:r w:rsidR="0069310F">
        <w:rPr>
          <w:rFonts w:ascii="Arial" w:hAnsi="Arial" w:cs="Arial"/>
          <w:sz w:val="20"/>
          <w:szCs w:val="20"/>
        </w:rPr>
        <w:t xml:space="preserve"> a klášterních</w:t>
      </w:r>
      <w:r>
        <w:rPr>
          <w:rFonts w:ascii="Arial" w:hAnsi="Arial" w:cs="Arial"/>
          <w:sz w:val="20"/>
          <w:szCs w:val="20"/>
        </w:rPr>
        <w:t xml:space="preserve"> areálech probíhají. Za</w:t>
      </w:r>
      <w:r w:rsidRPr="00B27C6A">
        <w:rPr>
          <w:rFonts w:ascii="Arial" w:hAnsi="Arial" w:cs="Arial"/>
          <w:sz w:val="20"/>
          <w:szCs w:val="20"/>
        </w:rPr>
        <w:t xml:space="preserve"> celou sezónu na</w:t>
      </w:r>
      <w:r>
        <w:rPr>
          <w:rFonts w:ascii="Arial" w:hAnsi="Arial" w:cs="Arial"/>
          <w:sz w:val="20"/>
          <w:szCs w:val="20"/>
        </w:rPr>
        <w:t>bídly hrady,</w:t>
      </w:r>
      <w:r w:rsidRPr="00B27C6A">
        <w:rPr>
          <w:rFonts w:ascii="Arial" w:hAnsi="Arial" w:cs="Arial"/>
          <w:sz w:val="20"/>
          <w:szCs w:val="20"/>
        </w:rPr>
        <w:t xml:space="preserve"> zámky</w:t>
      </w:r>
      <w:r>
        <w:rPr>
          <w:rFonts w:ascii="Arial" w:hAnsi="Arial" w:cs="Arial"/>
          <w:sz w:val="20"/>
          <w:szCs w:val="20"/>
        </w:rPr>
        <w:t xml:space="preserve"> a jeden klášter</w:t>
      </w:r>
      <w:r w:rsidRPr="000407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spr</w:t>
      </w:r>
      <w:r w:rsidRPr="00B27C6A">
        <w:rPr>
          <w:rFonts w:ascii="Arial" w:hAnsi="Arial" w:cs="Arial"/>
          <w:sz w:val="20"/>
          <w:szCs w:val="20"/>
        </w:rPr>
        <w:t>avované</w:t>
      </w:r>
      <w:r>
        <w:rPr>
          <w:rFonts w:ascii="Arial" w:hAnsi="Arial" w:cs="Arial"/>
          <w:sz w:val="20"/>
          <w:szCs w:val="20"/>
        </w:rPr>
        <w:t xml:space="preserve"> na území Jihočeského kraje </w:t>
      </w:r>
      <w:r w:rsidRPr="00B27C6A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árodním památkovým ústavem </w:t>
      </w:r>
      <w:r>
        <w:rPr>
          <w:rFonts w:ascii="Arial" w:hAnsi="Arial" w:cs="Arial"/>
          <w:b/>
          <w:sz w:val="20"/>
          <w:szCs w:val="20"/>
        </w:rPr>
        <w:t>více než</w:t>
      </w:r>
      <w:r w:rsidRPr="00EF79A3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pět</w:t>
      </w:r>
      <w:r w:rsidRPr="00EF79A3">
        <w:rPr>
          <w:rFonts w:ascii="Arial" w:hAnsi="Arial" w:cs="Arial"/>
          <w:b/>
          <w:sz w:val="20"/>
          <w:szCs w:val="20"/>
        </w:rPr>
        <w:t xml:space="preserve"> set různorodých kulturních akcí a výstav</w:t>
      </w:r>
      <w:r>
        <w:rPr>
          <w:rFonts w:ascii="Arial" w:hAnsi="Arial" w:cs="Arial"/>
          <w:sz w:val="20"/>
          <w:szCs w:val="20"/>
        </w:rPr>
        <w:t>. Tradiční nabídku pořadů,</w:t>
      </w:r>
      <w:r w:rsidRPr="000A2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 níž nechyběly kostýmované, noční i speciální prohlídky, divadla, koncerty, šermířská vystoupení, hradní slavnosti nebo přednášky, obohatil</w:t>
      </w:r>
      <w:r w:rsidR="003F6411">
        <w:rPr>
          <w:rFonts w:ascii="Arial" w:hAnsi="Arial" w:cs="Arial"/>
          <w:sz w:val="20"/>
          <w:szCs w:val="20"/>
        </w:rPr>
        <w:t xml:space="preserve">y aktivity související se 700. výročím narození Karla IV. v rámci projektu NPÚ </w:t>
      </w:r>
      <w:r w:rsidR="003F6411" w:rsidRPr="00AC338E">
        <w:rPr>
          <w:rFonts w:ascii="Arial" w:hAnsi="Arial" w:cs="Arial"/>
          <w:i/>
          <w:sz w:val="20"/>
          <w:szCs w:val="20"/>
        </w:rPr>
        <w:t>Lucemburský rok</w:t>
      </w:r>
      <w:r w:rsidR="003F641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F79B9" w:rsidRDefault="00854A00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Stálou oblibu památek u svatebčanů potvrzuje počet </w:t>
      </w:r>
      <w:r>
        <w:rPr>
          <w:rFonts w:ascii="Arial" w:hAnsi="Arial" w:cs="Arial"/>
          <w:b/>
          <w:sz w:val="20"/>
          <w:szCs w:val="20"/>
        </w:rPr>
        <w:t>45</w:t>
      </w:r>
      <w:r w:rsidR="003F6411">
        <w:rPr>
          <w:rFonts w:ascii="Arial" w:hAnsi="Arial" w:cs="Arial"/>
          <w:b/>
          <w:sz w:val="20"/>
          <w:szCs w:val="20"/>
        </w:rPr>
        <w:t>9</w:t>
      </w:r>
      <w:r w:rsidRPr="00EF79A3">
        <w:rPr>
          <w:rFonts w:ascii="Arial" w:hAnsi="Arial" w:cs="Arial"/>
          <w:b/>
          <w:sz w:val="20"/>
          <w:szCs w:val="20"/>
        </w:rPr>
        <w:t xml:space="preserve"> svateb</w:t>
      </w:r>
      <w:r>
        <w:rPr>
          <w:rFonts w:ascii="Arial" w:hAnsi="Arial" w:cs="Arial"/>
          <w:sz w:val="20"/>
          <w:szCs w:val="20"/>
        </w:rPr>
        <w:t xml:space="preserve"> uskutečněných v letošním roce na památkách v jižních Čechách, jimž neustále dominuje zámek Hluboká. Také v letošním roce si české i zahraniční </w:t>
      </w:r>
      <w:r w:rsidRPr="000032CE">
        <w:rPr>
          <w:rFonts w:ascii="Arial" w:hAnsi="Arial" w:cs="Arial"/>
          <w:b/>
          <w:sz w:val="20"/>
          <w:szCs w:val="20"/>
        </w:rPr>
        <w:t>filmové produkce</w:t>
      </w:r>
      <w:r w:rsidR="00AF79B9">
        <w:rPr>
          <w:rFonts w:ascii="Arial" w:hAnsi="Arial" w:cs="Arial"/>
          <w:sz w:val="20"/>
          <w:szCs w:val="20"/>
        </w:rPr>
        <w:t xml:space="preserve"> zvolily mnohé</w:t>
      </w:r>
      <w:r>
        <w:rPr>
          <w:rFonts w:ascii="Arial" w:hAnsi="Arial" w:cs="Arial"/>
          <w:sz w:val="20"/>
          <w:szCs w:val="20"/>
        </w:rPr>
        <w:t xml:space="preserve"> jihočeské památky k natáčení.</w:t>
      </w:r>
      <w:r w:rsidR="00AF79B9">
        <w:rPr>
          <w:rFonts w:ascii="Arial" w:hAnsi="Arial" w:cs="Arial"/>
          <w:sz w:val="20"/>
          <w:szCs w:val="20"/>
        </w:rPr>
        <w:t xml:space="preserve"> Největším počinem je natáčení historického filmu </w:t>
      </w:r>
      <w:r w:rsidR="00AF79B9" w:rsidRPr="00AC338E">
        <w:rPr>
          <w:rFonts w:ascii="Arial" w:hAnsi="Arial" w:cs="Arial"/>
          <w:i/>
          <w:sz w:val="20"/>
          <w:szCs w:val="20"/>
        </w:rPr>
        <w:t>Luther</w:t>
      </w:r>
      <w:r w:rsidR="00AF79B9">
        <w:rPr>
          <w:rFonts w:ascii="Arial" w:hAnsi="Arial" w:cs="Arial"/>
          <w:sz w:val="20"/>
          <w:szCs w:val="20"/>
        </w:rPr>
        <w:t xml:space="preserve"> v česko-německé koprodukci, během něhož zavítají</w:t>
      </w:r>
      <w:r w:rsidR="00326D24">
        <w:rPr>
          <w:rFonts w:ascii="Arial" w:hAnsi="Arial" w:cs="Arial"/>
          <w:sz w:val="20"/>
          <w:szCs w:val="20"/>
        </w:rPr>
        <w:t xml:space="preserve"> na podzim 2016</w:t>
      </w:r>
      <w:r w:rsidR="00AF79B9">
        <w:rPr>
          <w:rFonts w:ascii="Arial" w:hAnsi="Arial" w:cs="Arial"/>
          <w:sz w:val="20"/>
          <w:szCs w:val="20"/>
        </w:rPr>
        <w:t xml:space="preserve"> filmové štáby do Českého Krumlova, Jindřichova Hradce, na Kratochvíli a Zvíkov.</w:t>
      </w:r>
      <w:r w:rsidR="00326D24">
        <w:rPr>
          <w:rFonts w:ascii="Arial" w:hAnsi="Arial" w:cs="Arial"/>
          <w:sz w:val="20"/>
          <w:szCs w:val="20"/>
        </w:rPr>
        <w:t xml:space="preserve"> Na hradech Landštejn a Jindřichův Hradec vznikala pohádka </w:t>
      </w:r>
      <w:r w:rsidR="00326D24" w:rsidRPr="00AC338E">
        <w:rPr>
          <w:rFonts w:ascii="Arial" w:hAnsi="Arial" w:cs="Arial"/>
          <w:i/>
          <w:sz w:val="20"/>
          <w:szCs w:val="20"/>
        </w:rPr>
        <w:t>Pravý rytíř</w:t>
      </w:r>
      <w:r w:rsidR="00326D24">
        <w:rPr>
          <w:rFonts w:ascii="Arial" w:hAnsi="Arial" w:cs="Arial"/>
          <w:sz w:val="20"/>
          <w:szCs w:val="20"/>
        </w:rPr>
        <w:t>, kterou natočila Česká televize.</w:t>
      </w:r>
      <w:r w:rsidR="000241CB">
        <w:rPr>
          <w:rFonts w:ascii="Arial" w:hAnsi="Arial" w:cs="Arial"/>
          <w:sz w:val="20"/>
          <w:szCs w:val="20"/>
        </w:rPr>
        <w:t xml:space="preserve"> Památky jsou pravidelným cílem tvůrců různých dokumentárních či cestovatelských pořadů, případně reklam a klipů.</w:t>
      </w:r>
    </w:p>
    <w:p w:rsidR="000241CB" w:rsidRDefault="000241CB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Jihočeské památky patří k cílům významných státních</w:t>
      </w:r>
      <w:r w:rsidR="00EC43D5">
        <w:rPr>
          <w:rFonts w:ascii="Arial" w:hAnsi="Arial" w:cs="Arial"/>
          <w:sz w:val="20"/>
          <w:szCs w:val="20"/>
        </w:rPr>
        <w:t xml:space="preserve"> i šlechtických</w:t>
      </w:r>
      <w:r>
        <w:rPr>
          <w:rFonts w:ascii="Arial" w:hAnsi="Arial" w:cs="Arial"/>
          <w:sz w:val="20"/>
          <w:szCs w:val="20"/>
        </w:rPr>
        <w:t xml:space="preserve"> návštěv. Hrad a zámek Český Krumlov letos navštívilo několik delegací velvyslanců z deseti zemí světa (např. Itálie, Španělsko, Francie, Jižní Korea, Norsko, Japonsko ad.)</w:t>
      </w:r>
      <w:r w:rsidR="00EC43D5">
        <w:rPr>
          <w:rFonts w:ascii="Arial" w:hAnsi="Arial" w:cs="Arial"/>
          <w:sz w:val="20"/>
          <w:szCs w:val="20"/>
        </w:rPr>
        <w:t xml:space="preserve">, na hrad Zvíkov zavítala manželka současného prezidenta ČR. Zámek Dačice si prohlédl potomek rodu </w:t>
      </w:r>
      <w:proofErr w:type="spellStart"/>
      <w:r w:rsidR="00EC43D5">
        <w:rPr>
          <w:rFonts w:ascii="Arial" w:hAnsi="Arial" w:cs="Arial"/>
          <w:sz w:val="20"/>
          <w:szCs w:val="20"/>
        </w:rPr>
        <w:t>Salmů</w:t>
      </w:r>
      <w:proofErr w:type="spellEnd"/>
      <w:r w:rsidR="00EC43D5">
        <w:rPr>
          <w:rFonts w:ascii="Arial" w:hAnsi="Arial" w:cs="Arial"/>
          <w:sz w:val="20"/>
          <w:szCs w:val="20"/>
        </w:rPr>
        <w:t xml:space="preserve"> a </w:t>
      </w:r>
      <w:r w:rsidR="00AF7E2A">
        <w:rPr>
          <w:rFonts w:ascii="Arial" w:hAnsi="Arial" w:cs="Arial"/>
          <w:sz w:val="20"/>
          <w:szCs w:val="20"/>
        </w:rPr>
        <w:t>n</w:t>
      </w:r>
      <w:r w:rsidR="00EC43D5">
        <w:rPr>
          <w:rFonts w:ascii="Arial" w:hAnsi="Arial" w:cs="Arial"/>
          <w:sz w:val="20"/>
          <w:szCs w:val="20"/>
        </w:rPr>
        <w:t xml:space="preserve">a hrad Nové Hrady přijeli </w:t>
      </w:r>
      <w:r w:rsidR="00AF7E2A">
        <w:rPr>
          <w:rFonts w:ascii="Arial" w:hAnsi="Arial" w:cs="Arial"/>
          <w:sz w:val="20"/>
          <w:szCs w:val="20"/>
        </w:rPr>
        <w:t xml:space="preserve">rodinní příslušníci hraběnky Margarety </w:t>
      </w:r>
      <w:proofErr w:type="spellStart"/>
      <w:r w:rsidR="00AF7E2A">
        <w:rPr>
          <w:rFonts w:ascii="Arial" w:hAnsi="Arial" w:cs="Arial"/>
          <w:sz w:val="20"/>
          <w:szCs w:val="20"/>
        </w:rPr>
        <w:t>Buquoy</w:t>
      </w:r>
      <w:proofErr w:type="spellEnd"/>
      <w:r w:rsidR="00AF7E2A">
        <w:rPr>
          <w:rFonts w:ascii="Arial" w:hAnsi="Arial" w:cs="Arial"/>
          <w:sz w:val="20"/>
          <w:szCs w:val="20"/>
        </w:rPr>
        <w:t>.</w:t>
      </w:r>
    </w:p>
    <w:p w:rsidR="003E1DC5" w:rsidRDefault="003E1DC5" w:rsidP="00854A00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3E1DC5" w:rsidRDefault="00850593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Stavební obnovy a</w:t>
      </w:r>
      <w:r w:rsidR="003E1DC5">
        <w:rPr>
          <w:rFonts w:ascii="Arial" w:hAnsi="Arial" w:cs="Arial"/>
          <w:b/>
          <w:sz w:val="22"/>
          <w:szCs w:val="20"/>
        </w:rPr>
        <w:t xml:space="preserve"> údržba</w:t>
      </w:r>
      <w:r w:rsidR="001E71EE">
        <w:rPr>
          <w:rFonts w:ascii="Arial" w:hAnsi="Arial" w:cs="Arial"/>
          <w:b/>
          <w:sz w:val="22"/>
          <w:szCs w:val="20"/>
        </w:rPr>
        <w:t xml:space="preserve"> </w:t>
      </w:r>
    </w:p>
    <w:p w:rsidR="00AF7E2A" w:rsidRDefault="00854A00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průběhu</w:t>
      </w:r>
      <w:r w:rsidRPr="00B27C6A">
        <w:rPr>
          <w:rFonts w:ascii="Arial" w:hAnsi="Arial" w:cs="Arial"/>
          <w:sz w:val="20"/>
          <w:szCs w:val="20"/>
        </w:rPr>
        <w:t xml:space="preserve"> roku probíhají soustavné práce na obnově a prezentaci památek.</w:t>
      </w:r>
      <w:r>
        <w:rPr>
          <w:rFonts w:ascii="Arial" w:hAnsi="Arial" w:cs="Arial"/>
          <w:sz w:val="20"/>
          <w:szCs w:val="20"/>
        </w:rPr>
        <w:t xml:space="preserve"> </w:t>
      </w:r>
      <w:r w:rsidR="003E1DC5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 xml:space="preserve">V rámci </w:t>
      </w:r>
      <w:r w:rsidRPr="00A82F18">
        <w:rPr>
          <w:rFonts w:ascii="Arial" w:hAnsi="Arial" w:cs="Arial"/>
          <w:b/>
          <w:sz w:val="20"/>
          <w:szCs w:val="20"/>
        </w:rPr>
        <w:t>stavebních oprav, obnov a údržby</w:t>
      </w:r>
      <w:r>
        <w:rPr>
          <w:rFonts w:ascii="Arial" w:hAnsi="Arial" w:cs="Arial"/>
          <w:sz w:val="20"/>
          <w:szCs w:val="20"/>
        </w:rPr>
        <w:t xml:space="preserve"> </w:t>
      </w:r>
      <w:r w:rsidR="00AF7E2A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</w:rPr>
        <w:t xml:space="preserve"> v letošním roce na jihočeských památkách proinvestováno </w:t>
      </w:r>
      <w:r w:rsidR="00AF7E2A">
        <w:rPr>
          <w:rFonts w:ascii="Arial" w:hAnsi="Arial" w:cs="Arial"/>
          <w:sz w:val="20"/>
          <w:szCs w:val="20"/>
        </w:rPr>
        <w:t>téměř</w:t>
      </w:r>
      <w:r>
        <w:rPr>
          <w:rFonts w:ascii="Arial" w:hAnsi="Arial" w:cs="Arial"/>
          <w:sz w:val="20"/>
          <w:szCs w:val="20"/>
        </w:rPr>
        <w:t xml:space="preserve"> </w:t>
      </w:r>
      <w:r w:rsidR="00AF7E2A">
        <w:rPr>
          <w:rFonts w:ascii="Arial" w:hAnsi="Arial" w:cs="Arial"/>
          <w:b/>
          <w:sz w:val="20"/>
          <w:szCs w:val="20"/>
        </w:rPr>
        <w:t>60</w:t>
      </w:r>
      <w:r w:rsidRPr="00A82F18">
        <w:rPr>
          <w:rFonts w:ascii="Arial" w:hAnsi="Arial" w:cs="Arial"/>
          <w:b/>
          <w:sz w:val="20"/>
          <w:szCs w:val="20"/>
        </w:rPr>
        <w:t xml:space="preserve"> milionů korun</w:t>
      </w:r>
      <w:r w:rsidR="003E1DC5">
        <w:rPr>
          <w:rFonts w:ascii="Arial" w:hAnsi="Arial" w:cs="Arial"/>
          <w:sz w:val="20"/>
          <w:szCs w:val="20"/>
        </w:rPr>
        <w:t>,“ vyčísluje náklady ředitel Petr Pavelec</w:t>
      </w:r>
      <w:r>
        <w:rPr>
          <w:rFonts w:ascii="Arial" w:hAnsi="Arial" w:cs="Arial"/>
          <w:sz w:val="20"/>
          <w:szCs w:val="20"/>
        </w:rPr>
        <w:t xml:space="preserve">. </w:t>
      </w:r>
      <w:r w:rsidR="00244727" w:rsidRPr="00244727">
        <w:rPr>
          <w:rFonts w:ascii="Arial" w:hAnsi="Arial" w:cs="Arial"/>
          <w:b/>
          <w:sz w:val="20"/>
          <w:szCs w:val="20"/>
        </w:rPr>
        <w:t>(viz Příloha č. 3)</w:t>
      </w:r>
      <w:r w:rsidR="00244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Největší výdaje souvisí s vybudováním </w:t>
      </w:r>
      <w:r w:rsidRPr="00BA3363">
        <w:rPr>
          <w:rFonts w:ascii="Arial" w:hAnsi="Arial" w:cs="Arial"/>
          <w:b/>
          <w:sz w:val="20"/>
          <w:szCs w:val="20"/>
        </w:rPr>
        <w:t>Centra studijních pobytů v Českém Krumlově</w:t>
      </w:r>
      <w:r>
        <w:rPr>
          <w:rFonts w:ascii="Arial" w:hAnsi="Arial" w:cs="Arial"/>
          <w:sz w:val="20"/>
          <w:szCs w:val="20"/>
        </w:rPr>
        <w:t xml:space="preserve">, které </w:t>
      </w:r>
      <w:r w:rsidR="00AF7E2A">
        <w:rPr>
          <w:rFonts w:ascii="Arial" w:hAnsi="Arial" w:cs="Arial"/>
          <w:sz w:val="20"/>
          <w:szCs w:val="20"/>
        </w:rPr>
        <w:t>bude</w:t>
      </w:r>
      <w:r>
        <w:rPr>
          <w:rFonts w:ascii="Arial" w:hAnsi="Arial" w:cs="Arial"/>
          <w:sz w:val="20"/>
          <w:szCs w:val="20"/>
        </w:rPr>
        <w:t xml:space="preserve"> díky finanční pomoci </w:t>
      </w:r>
      <w:r w:rsidR="00312D9B">
        <w:rPr>
          <w:rFonts w:ascii="Arial" w:hAnsi="Arial" w:cs="Arial"/>
          <w:sz w:val="20"/>
          <w:szCs w:val="20"/>
        </w:rPr>
        <w:t>fondů EHP</w:t>
      </w:r>
      <w:r w:rsidR="00AF7E2A">
        <w:rPr>
          <w:rFonts w:ascii="Arial" w:hAnsi="Arial" w:cs="Arial"/>
          <w:sz w:val="20"/>
          <w:szCs w:val="20"/>
        </w:rPr>
        <w:t xml:space="preserve"> slavnostně otevřeno koncem listopadu 2016</w:t>
      </w:r>
      <w:r>
        <w:rPr>
          <w:rFonts w:ascii="Arial" w:hAnsi="Arial" w:cs="Arial"/>
          <w:sz w:val="20"/>
          <w:szCs w:val="20"/>
        </w:rPr>
        <w:t>.</w:t>
      </w:r>
      <w:bookmarkStart w:id="1" w:name="_GoBack"/>
      <w:bookmarkEnd w:id="1"/>
    </w:p>
    <w:p w:rsidR="00685031" w:rsidRDefault="00685031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významná</w:t>
      </w:r>
      <w:r w:rsidR="00854A00">
        <w:rPr>
          <w:rFonts w:ascii="Arial" w:hAnsi="Arial" w:cs="Arial"/>
          <w:sz w:val="20"/>
          <w:szCs w:val="20"/>
        </w:rPr>
        <w:t xml:space="preserve"> investic</w:t>
      </w:r>
      <w:r>
        <w:rPr>
          <w:rFonts w:ascii="Arial" w:hAnsi="Arial" w:cs="Arial"/>
          <w:sz w:val="20"/>
          <w:szCs w:val="20"/>
        </w:rPr>
        <w:t>e</w:t>
      </w:r>
      <w:r w:rsidR="00854A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souvisí s</w:t>
      </w:r>
      <w:r w:rsidR="00854A00">
        <w:rPr>
          <w:rFonts w:ascii="Arial" w:hAnsi="Arial" w:cs="Arial"/>
          <w:sz w:val="20"/>
          <w:szCs w:val="20"/>
        </w:rPr>
        <w:t xml:space="preserve"> rehabilitac</w:t>
      </w:r>
      <w:r>
        <w:rPr>
          <w:rFonts w:ascii="Arial" w:hAnsi="Arial" w:cs="Arial"/>
          <w:sz w:val="20"/>
          <w:szCs w:val="20"/>
        </w:rPr>
        <w:t xml:space="preserve">í </w:t>
      </w:r>
      <w:r w:rsidRPr="00BA3363">
        <w:rPr>
          <w:rFonts w:ascii="Arial" w:hAnsi="Arial" w:cs="Arial"/>
          <w:b/>
          <w:sz w:val="20"/>
          <w:szCs w:val="20"/>
        </w:rPr>
        <w:t>tzv. H</w:t>
      </w:r>
      <w:r w:rsidR="00854A00" w:rsidRPr="00BA3363">
        <w:rPr>
          <w:rFonts w:ascii="Arial" w:hAnsi="Arial" w:cs="Arial"/>
          <w:b/>
          <w:sz w:val="20"/>
          <w:szCs w:val="20"/>
        </w:rPr>
        <w:t>ostinských pokojů</w:t>
      </w:r>
      <w:r w:rsidR="00854A00">
        <w:rPr>
          <w:rFonts w:ascii="Arial" w:hAnsi="Arial" w:cs="Arial"/>
          <w:sz w:val="20"/>
          <w:szCs w:val="20"/>
        </w:rPr>
        <w:t xml:space="preserve"> v druhém patře </w:t>
      </w:r>
      <w:r w:rsidR="00854A00" w:rsidRPr="00BA3363">
        <w:rPr>
          <w:rFonts w:ascii="Arial" w:hAnsi="Arial" w:cs="Arial"/>
          <w:b/>
          <w:sz w:val="20"/>
          <w:szCs w:val="20"/>
        </w:rPr>
        <w:t>zámku Hluboká</w:t>
      </w:r>
      <w:r>
        <w:rPr>
          <w:rFonts w:ascii="Arial" w:hAnsi="Arial" w:cs="Arial"/>
          <w:sz w:val="20"/>
          <w:szCs w:val="20"/>
        </w:rPr>
        <w:t xml:space="preserve">. Stavební práce, které zahrnovaly obnovu a restaurování omítek, dřevěných i kamenných podlah, truhlářských prvků, včetně skleněných výplní </w:t>
      </w:r>
      <w:r w:rsidR="00BA3363">
        <w:rPr>
          <w:rFonts w:ascii="Arial" w:hAnsi="Arial" w:cs="Arial"/>
          <w:sz w:val="20"/>
          <w:szCs w:val="20"/>
        </w:rPr>
        <w:t>oken a vitráží</w:t>
      </w:r>
      <w:r w:rsidR="005A30EE">
        <w:rPr>
          <w:rFonts w:ascii="Arial" w:hAnsi="Arial" w:cs="Arial"/>
          <w:sz w:val="20"/>
          <w:szCs w:val="20"/>
        </w:rPr>
        <w:t>, jsou již dokončené</w:t>
      </w:r>
      <w:r w:rsidR="00BA3363">
        <w:rPr>
          <w:rFonts w:ascii="Arial" w:hAnsi="Arial" w:cs="Arial"/>
          <w:sz w:val="20"/>
          <w:szCs w:val="20"/>
        </w:rPr>
        <w:t>. Místnosti byly doplněny lustry, restaurovala se kachlová kamna a opravovala elektroinstalace, včetně osazení nových skleněných vypínačů a zásuvek. V současné chvíli probíhá restaurování mobiliáře, které by mělo být dokončeno v červenci 2017. Celkové náklady na stavební práce činí více než 15 milionů korun.</w:t>
      </w:r>
    </w:p>
    <w:p w:rsidR="00312D9B" w:rsidRDefault="00312D9B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Hrad a zámek </w:t>
      </w:r>
      <w:r w:rsidRPr="00312D9B">
        <w:rPr>
          <w:rFonts w:ascii="Arial" w:hAnsi="Arial" w:cs="Arial"/>
          <w:b/>
          <w:sz w:val="20"/>
          <w:szCs w:val="20"/>
        </w:rPr>
        <w:t>Jindřichův Hradec</w:t>
      </w:r>
      <w:r>
        <w:rPr>
          <w:rFonts w:ascii="Arial" w:hAnsi="Arial" w:cs="Arial"/>
          <w:sz w:val="20"/>
          <w:szCs w:val="20"/>
        </w:rPr>
        <w:t xml:space="preserve"> mohl díky zapojení do aktivit Lucemburského roku </w:t>
      </w:r>
      <w:r w:rsidRPr="00312D9B">
        <w:rPr>
          <w:rFonts w:ascii="Arial" w:hAnsi="Arial" w:cs="Arial"/>
          <w:b/>
          <w:sz w:val="20"/>
          <w:szCs w:val="20"/>
        </w:rPr>
        <w:t>reinstalovat</w:t>
      </w:r>
      <w:r>
        <w:rPr>
          <w:rFonts w:ascii="Arial" w:hAnsi="Arial" w:cs="Arial"/>
          <w:sz w:val="20"/>
          <w:szCs w:val="20"/>
        </w:rPr>
        <w:t xml:space="preserve"> expozici </w:t>
      </w:r>
      <w:r w:rsidRPr="00312D9B">
        <w:rPr>
          <w:rFonts w:ascii="Arial" w:hAnsi="Arial" w:cs="Arial"/>
          <w:b/>
          <w:sz w:val="20"/>
          <w:szCs w:val="20"/>
        </w:rPr>
        <w:t>Gotického paláce</w:t>
      </w:r>
      <w:r>
        <w:rPr>
          <w:rFonts w:ascii="Arial" w:hAnsi="Arial" w:cs="Arial"/>
          <w:sz w:val="20"/>
          <w:szCs w:val="20"/>
        </w:rPr>
        <w:t xml:space="preserve"> a nabídnout tak návštěvníkům unikátně zachované nástěnné malby svatojiřské legendy novým interaktivním způsobem. Nová expozice nese název </w:t>
      </w:r>
      <w:r w:rsidRPr="00312D9B">
        <w:rPr>
          <w:rFonts w:ascii="Arial" w:hAnsi="Arial" w:cs="Arial"/>
          <w:i/>
          <w:sz w:val="20"/>
          <w:szCs w:val="20"/>
        </w:rPr>
        <w:t>Následovníci sv. Jiří</w:t>
      </w:r>
      <w:r>
        <w:rPr>
          <w:rFonts w:ascii="Arial" w:hAnsi="Arial" w:cs="Arial"/>
          <w:sz w:val="20"/>
          <w:szCs w:val="20"/>
        </w:rPr>
        <w:t>. Reinstalace horní arkádové chodby se dočkal také zámek v </w:t>
      </w:r>
      <w:r w:rsidRPr="00312D9B">
        <w:rPr>
          <w:rFonts w:ascii="Arial" w:hAnsi="Arial" w:cs="Arial"/>
          <w:b/>
          <w:sz w:val="20"/>
          <w:szCs w:val="20"/>
        </w:rPr>
        <w:t>Dačicích</w:t>
      </w:r>
      <w:r>
        <w:rPr>
          <w:rFonts w:ascii="Arial" w:hAnsi="Arial" w:cs="Arial"/>
          <w:sz w:val="20"/>
          <w:szCs w:val="20"/>
        </w:rPr>
        <w:t>, který nyní ukazuje její podobu z počátku 20. století. V listopadu 2016 proběhne rekonstrukce tamních toalet pro veřejnost.</w:t>
      </w:r>
    </w:p>
    <w:p w:rsidR="00BA3363" w:rsidRDefault="00BA3363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konce roku 2016 bude dokončena víceletá práce na restaurování a obnově západní </w:t>
      </w:r>
      <w:r w:rsidRPr="003E1DC5">
        <w:rPr>
          <w:rFonts w:ascii="Arial" w:hAnsi="Arial" w:cs="Arial"/>
          <w:b/>
          <w:sz w:val="20"/>
          <w:szCs w:val="20"/>
        </w:rPr>
        <w:t>ohradní zdi a domku Markéta na zámku Kratochvíle</w:t>
      </w:r>
      <w:r>
        <w:rPr>
          <w:rFonts w:ascii="Arial" w:hAnsi="Arial" w:cs="Arial"/>
          <w:sz w:val="20"/>
          <w:szCs w:val="20"/>
        </w:rPr>
        <w:t>. Stavební práce spočívaly v odsolování,</w:t>
      </w:r>
      <w:r w:rsidR="003E1DC5">
        <w:rPr>
          <w:rFonts w:ascii="Arial" w:hAnsi="Arial" w:cs="Arial"/>
          <w:sz w:val="20"/>
          <w:szCs w:val="20"/>
        </w:rPr>
        <w:t xml:space="preserve"> omítání a tmelení omítek, malířských retuších a rekonstrukci sgrafit ohradní zdi. Domek Markéta prošel</w:t>
      </w:r>
      <w:r>
        <w:rPr>
          <w:rFonts w:ascii="Arial" w:hAnsi="Arial" w:cs="Arial"/>
          <w:sz w:val="20"/>
          <w:szCs w:val="20"/>
        </w:rPr>
        <w:t xml:space="preserve"> očištění</w:t>
      </w:r>
      <w:r w:rsidR="003E1DC5">
        <w:rPr>
          <w:rFonts w:ascii="Arial" w:hAnsi="Arial" w:cs="Arial"/>
          <w:sz w:val="20"/>
          <w:szCs w:val="20"/>
        </w:rPr>
        <w:t>m a</w:t>
      </w:r>
      <w:r>
        <w:rPr>
          <w:rFonts w:ascii="Arial" w:hAnsi="Arial" w:cs="Arial"/>
          <w:sz w:val="20"/>
          <w:szCs w:val="20"/>
        </w:rPr>
        <w:t xml:space="preserve"> odstranění</w:t>
      </w:r>
      <w:r w:rsidR="003E1DC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nesoudržných omítek</w:t>
      </w:r>
      <w:r w:rsidR="003E1DC5">
        <w:rPr>
          <w:rFonts w:ascii="Arial" w:hAnsi="Arial" w:cs="Arial"/>
          <w:sz w:val="20"/>
          <w:szCs w:val="20"/>
        </w:rPr>
        <w:t>. Na základě výsledků restaurátorského průzkumu byly provedeny retuše maleb. Celkové náklady dosáhly výše téměř 7,5 milionu korun.</w:t>
      </w:r>
    </w:p>
    <w:p w:rsidR="003E1DC5" w:rsidRDefault="00312D9B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klášteře</w:t>
      </w:r>
      <w:r w:rsidR="003E1DC5">
        <w:rPr>
          <w:rFonts w:ascii="Arial" w:hAnsi="Arial" w:cs="Arial"/>
          <w:sz w:val="20"/>
          <w:szCs w:val="20"/>
        </w:rPr>
        <w:t xml:space="preserve"> </w:t>
      </w:r>
      <w:r w:rsidR="003E1DC5" w:rsidRPr="00312D9B">
        <w:rPr>
          <w:rFonts w:ascii="Arial" w:hAnsi="Arial" w:cs="Arial"/>
          <w:b/>
          <w:sz w:val="20"/>
          <w:szCs w:val="20"/>
        </w:rPr>
        <w:t>Zlatá Koruna</w:t>
      </w:r>
      <w:r w:rsidR="003E1DC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bylo letos revitalizováno</w:t>
      </w:r>
      <w:r w:rsidR="003E1DC5">
        <w:rPr>
          <w:rFonts w:ascii="Arial" w:hAnsi="Arial" w:cs="Arial"/>
          <w:sz w:val="20"/>
          <w:szCs w:val="20"/>
        </w:rPr>
        <w:t xml:space="preserve"> první</w:t>
      </w:r>
      <w:r>
        <w:rPr>
          <w:rFonts w:ascii="Arial" w:hAnsi="Arial" w:cs="Arial"/>
          <w:sz w:val="20"/>
          <w:szCs w:val="20"/>
        </w:rPr>
        <w:t xml:space="preserve"> patro</w:t>
      </w:r>
      <w:r w:rsidR="003E1DC5">
        <w:rPr>
          <w:rFonts w:ascii="Arial" w:hAnsi="Arial" w:cs="Arial"/>
          <w:sz w:val="20"/>
          <w:szCs w:val="20"/>
        </w:rPr>
        <w:t xml:space="preserve"> </w:t>
      </w:r>
      <w:r w:rsidR="003E1DC5" w:rsidRPr="00312D9B">
        <w:rPr>
          <w:rFonts w:ascii="Arial" w:hAnsi="Arial" w:cs="Arial"/>
          <w:b/>
          <w:sz w:val="20"/>
          <w:szCs w:val="20"/>
        </w:rPr>
        <w:t xml:space="preserve">Malého Konventu </w:t>
      </w:r>
      <w:r w:rsidRPr="00312D9B">
        <w:rPr>
          <w:rFonts w:ascii="Arial" w:hAnsi="Arial" w:cs="Arial"/>
          <w:b/>
          <w:sz w:val="20"/>
          <w:szCs w:val="20"/>
        </w:rPr>
        <w:t>a Opatství</w:t>
      </w:r>
      <w:r>
        <w:rPr>
          <w:rFonts w:ascii="Arial" w:hAnsi="Arial" w:cs="Arial"/>
          <w:sz w:val="20"/>
          <w:szCs w:val="20"/>
        </w:rPr>
        <w:t xml:space="preserve">, kde vznikl menší konferenční sál. Převážně exteriérové práce se týkaly mimo jiné hradu </w:t>
      </w:r>
      <w:r w:rsidRPr="00312D9B">
        <w:rPr>
          <w:rFonts w:ascii="Arial" w:hAnsi="Arial" w:cs="Arial"/>
          <w:b/>
          <w:sz w:val="20"/>
          <w:szCs w:val="20"/>
        </w:rPr>
        <w:t>Zvíkov</w:t>
      </w:r>
      <w:r>
        <w:rPr>
          <w:rFonts w:ascii="Arial" w:hAnsi="Arial" w:cs="Arial"/>
          <w:sz w:val="20"/>
          <w:szCs w:val="20"/>
        </w:rPr>
        <w:t xml:space="preserve">, který získal nové nátěry šindelových střech na paláci, hradu </w:t>
      </w:r>
      <w:r w:rsidRPr="00312D9B">
        <w:rPr>
          <w:rFonts w:ascii="Arial" w:hAnsi="Arial" w:cs="Arial"/>
          <w:b/>
          <w:sz w:val="20"/>
          <w:szCs w:val="20"/>
        </w:rPr>
        <w:t>Nové Hrady</w:t>
      </w:r>
      <w:r>
        <w:rPr>
          <w:rFonts w:ascii="Arial" w:hAnsi="Arial" w:cs="Arial"/>
          <w:sz w:val="20"/>
          <w:szCs w:val="20"/>
        </w:rPr>
        <w:t xml:space="preserve">, kde se opravovala opěrná zeď na nádvoří a </w:t>
      </w:r>
      <w:proofErr w:type="spellStart"/>
      <w:r>
        <w:rPr>
          <w:rFonts w:ascii="Arial" w:hAnsi="Arial" w:cs="Arial"/>
          <w:sz w:val="20"/>
          <w:szCs w:val="20"/>
        </w:rPr>
        <w:t>tarasní</w:t>
      </w:r>
      <w:proofErr w:type="spellEnd"/>
      <w:r>
        <w:rPr>
          <w:rFonts w:ascii="Arial" w:hAnsi="Arial" w:cs="Arial"/>
          <w:sz w:val="20"/>
          <w:szCs w:val="20"/>
        </w:rPr>
        <w:t xml:space="preserve"> zídka nad přístupovou cestou.</w:t>
      </w:r>
    </w:p>
    <w:p w:rsidR="00312D9B" w:rsidRDefault="00312D9B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Významně pokročil také projekt restaurování středověké </w:t>
      </w:r>
      <w:r w:rsidRPr="00312D9B">
        <w:rPr>
          <w:rFonts w:ascii="Arial" w:hAnsi="Arial" w:cs="Arial"/>
          <w:b/>
          <w:sz w:val="20"/>
          <w:szCs w:val="20"/>
        </w:rPr>
        <w:t>věže Jakobínka</w:t>
      </w:r>
      <w:r>
        <w:rPr>
          <w:rFonts w:ascii="Arial" w:hAnsi="Arial" w:cs="Arial"/>
          <w:sz w:val="20"/>
          <w:szCs w:val="20"/>
        </w:rPr>
        <w:t xml:space="preserve"> na hradě </w:t>
      </w:r>
      <w:r w:rsidRPr="00312D9B">
        <w:rPr>
          <w:rFonts w:ascii="Arial" w:hAnsi="Arial" w:cs="Arial"/>
          <w:b/>
          <w:sz w:val="20"/>
          <w:szCs w:val="20"/>
        </w:rPr>
        <w:t>Rožmberk</w:t>
      </w:r>
      <w:r>
        <w:rPr>
          <w:rFonts w:ascii="Arial" w:hAnsi="Arial" w:cs="Arial"/>
          <w:sz w:val="20"/>
          <w:szCs w:val="20"/>
        </w:rPr>
        <w:t>, okolo níž bylo dostavěno dřevěné lešení až do úrovně krakorců. Díky němu mohla začít obnova věnce věže. Nejprve bylo zdivo očištěno od náletů a zbaveno zvětralých a nevhodných částí a následně se začalo s přezdíváním.</w:t>
      </w:r>
    </w:p>
    <w:p w:rsidR="00FE7525" w:rsidRDefault="000A2E6E" w:rsidP="00854A00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zám</w:t>
      </w:r>
      <w:r w:rsidR="00FE7525">
        <w:rPr>
          <w:rFonts w:ascii="Arial" w:hAnsi="Arial" w:cs="Arial"/>
          <w:sz w:val="20"/>
          <w:szCs w:val="20"/>
        </w:rPr>
        <w:t>k</w:t>
      </w:r>
      <w:r>
        <w:rPr>
          <w:rFonts w:ascii="Arial" w:hAnsi="Arial" w:cs="Arial"/>
          <w:sz w:val="20"/>
          <w:szCs w:val="20"/>
        </w:rPr>
        <w:t>u</w:t>
      </w:r>
      <w:r w:rsidR="00FE7525">
        <w:rPr>
          <w:rFonts w:ascii="Arial" w:hAnsi="Arial" w:cs="Arial"/>
          <w:sz w:val="20"/>
          <w:szCs w:val="20"/>
        </w:rPr>
        <w:t xml:space="preserve"> </w:t>
      </w:r>
      <w:r w:rsidR="00FE7525" w:rsidRPr="001E71EE">
        <w:rPr>
          <w:rFonts w:ascii="Arial" w:hAnsi="Arial" w:cs="Arial"/>
          <w:b/>
          <w:sz w:val="20"/>
          <w:szCs w:val="20"/>
        </w:rPr>
        <w:t>Vimperk</w:t>
      </w:r>
      <w:r>
        <w:rPr>
          <w:rFonts w:ascii="Arial" w:hAnsi="Arial" w:cs="Arial"/>
          <w:sz w:val="20"/>
          <w:szCs w:val="20"/>
        </w:rPr>
        <w:t xml:space="preserve"> probíhají přípravné a projekční práce směřující k následné realizaci obnovy Horního i Dolního zámku. Proběhly tři restaurátorské průzkumy zaměřené na omítky a barevnost Horního i Dolního zámku a renesanční arkádové lodžie</w:t>
      </w:r>
      <w:r w:rsidR="00FE7525">
        <w:rPr>
          <w:rFonts w:ascii="Arial" w:hAnsi="Arial" w:cs="Arial"/>
          <w:sz w:val="20"/>
          <w:szCs w:val="20"/>
        </w:rPr>
        <w:t xml:space="preserve">. </w:t>
      </w:r>
      <w:r w:rsidR="001E71EE">
        <w:rPr>
          <w:rFonts w:ascii="Arial" w:hAnsi="Arial" w:cs="Arial"/>
          <w:sz w:val="20"/>
          <w:szCs w:val="20"/>
        </w:rPr>
        <w:t xml:space="preserve">Zahrady byly podrobeny </w:t>
      </w:r>
      <w:proofErr w:type="spellStart"/>
      <w:r w:rsidR="001E71EE">
        <w:rPr>
          <w:rFonts w:ascii="Arial" w:hAnsi="Arial" w:cs="Arial"/>
          <w:sz w:val="20"/>
          <w:szCs w:val="20"/>
        </w:rPr>
        <w:t>georadarovému</w:t>
      </w:r>
      <w:proofErr w:type="spellEnd"/>
      <w:r w:rsidR="001E71EE">
        <w:rPr>
          <w:rFonts w:ascii="Arial" w:hAnsi="Arial" w:cs="Arial"/>
          <w:sz w:val="20"/>
          <w:szCs w:val="20"/>
        </w:rPr>
        <w:t xml:space="preserve"> a rozsáhlému archeologickému průzkumu. Zámek Vimperk se uchází o finanční dotaci z projektu IROP.</w:t>
      </w:r>
    </w:p>
    <w:p w:rsidR="001E71EE" w:rsidRDefault="001E71EE" w:rsidP="00854A00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850593" w:rsidRDefault="00850593" w:rsidP="00854A00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0"/>
        </w:rPr>
        <w:t>Restaurování</w:t>
      </w:r>
    </w:p>
    <w:p w:rsidR="004C2984" w:rsidRDefault="001E71EE" w:rsidP="00854A00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péče o kulturní dědictví je i pravidelné </w:t>
      </w:r>
      <w:r w:rsidRPr="00FA19AF">
        <w:rPr>
          <w:rFonts w:ascii="Arial" w:hAnsi="Arial" w:cs="Arial"/>
          <w:b/>
          <w:sz w:val="20"/>
          <w:szCs w:val="20"/>
        </w:rPr>
        <w:t>restaurování mobiliáře</w:t>
      </w:r>
      <w:r>
        <w:rPr>
          <w:rFonts w:ascii="Arial" w:hAnsi="Arial" w:cs="Arial"/>
          <w:sz w:val="20"/>
          <w:szCs w:val="20"/>
        </w:rPr>
        <w:t xml:space="preserve">. „V letošním roce vynaložíme na restaurování více než 700 000 Kč,“ upřesňuje Petr Pavelec. </w:t>
      </w:r>
    </w:p>
    <w:p w:rsidR="001E71EE" w:rsidRDefault="004C2984" w:rsidP="00854A00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potřeby nové expozice Následovníci sv. Jiří na Jindřichově Hradci byl zrestaurován unikátní obraz Jindřichohradecké Madony</w:t>
      </w:r>
      <w:r w:rsidR="001E71EE">
        <w:rPr>
          <w:rFonts w:ascii="Arial" w:hAnsi="Arial" w:cs="Arial"/>
          <w:sz w:val="20"/>
          <w:szCs w:val="20"/>
        </w:rPr>
        <w:t xml:space="preserve">. </w:t>
      </w:r>
      <w:r w:rsidR="00FA19AF">
        <w:rPr>
          <w:rFonts w:ascii="Arial" w:hAnsi="Arial" w:cs="Arial"/>
          <w:sz w:val="20"/>
          <w:szCs w:val="20"/>
        </w:rPr>
        <w:t>Mezi</w:t>
      </w:r>
      <w:r>
        <w:rPr>
          <w:rFonts w:ascii="Arial" w:hAnsi="Arial" w:cs="Arial"/>
          <w:sz w:val="20"/>
          <w:szCs w:val="20"/>
        </w:rPr>
        <w:t xml:space="preserve"> dalšími</w:t>
      </w:r>
      <w:r w:rsidR="00FA19AF">
        <w:rPr>
          <w:rFonts w:ascii="Arial" w:hAnsi="Arial" w:cs="Arial"/>
          <w:sz w:val="20"/>
          <w:szCs w:val="20"/>
        </w:rPr>
        <w:t xml:space="preserve"> restaurovanými exponáty jsou</w:t>
      </w:r>
      <w:r>
        <w:rPr>
          <w:rFonts w:ascii="Arial" w:hAnsi="Arial" w:cs="Arial"/>
          <w:sz w:val="20"/>
          <w:szCs w:val="20"/>
        </w:rPr>
        <w:t xml:space="preserve"> mimo jiné</w:t>
      </w:r>
      <w:r w:rsidR="00FA19AF">
        <w:rPr>
          <w:rFonts w:ascii="Arial" w:hAnsi="Arial" w:cs="Arial"/>
          <w:sz w:val="20"/>
          <w:szCs w:val="20"/>
        </w:rPr>
        <w:t xml:space="preserve"> židle s koženým sedákem pro Zlatou Korunu a s hedvábným sametem pro Rožmberk. Zrestaurované obrazy se vrátí od restaurátorů na zámky Kratochvíle a Jindřichův Hradec či na hrad Nové Hrady. Třeboň bude mít opravený příborník, Zvíkov šatní skříň a Hluboká</w:t>
      </w:r>
      <w:r w:rsidR="00800D09">
        <w:rPr>
          <w:rFonts w:ascii="Arial" w:hAnsi="Arial" w:cs="Arial"/>
          <w:sz w:val="20"/>
          <w:szCs w:val="20"/>
        </w:rPr>
        <w:t xml:space="preserve"> ratanovou</w:t>
      </w:r>
      <w:r w:rsidR="00FA19AF">
        <w:rPr>
          <w:rFonts w:ascii="Arial" w:hAnsi="Arial" w:cs="Arial"/>
          <w:sz w:val="20"/>
          <w:szCs w:val="20"/>
        </w:rPr>
        <w:t xml:space="preserve"> </w:t>
      </w:r>
      <w:r w:rsidR="00C0114C">
        <w:rPr>
          <w:rFonts w:ascii="Arial" w:hAnsi="Arial" w:cs="Arial"/>
          <w:sz w:val="20"/>
          <w:szCs w:val="20"/>
        </w:rPr>
        <w:t>soupravu</w:t>
      </w:r>
      <w:r w:rsidR="00FA19AF">
        <w:rPr>
          <w:rFonts w:ascii="Arial" w:hAnsi="Arial" w:cs="Arial"/>
          <w:sz w:val="20"/>
          <w:szCs w:val="20"/>
        </w:rPr>
        <w:t>. V letošním roce také pokračovala obnova postrojů na koně pro Konírnu v Českém Krumlově.</w:t>
      </w:r>
    </w:p>
    <w:p w:rsidR="00832925" w:rsidRDefault="00832925">
      <w:pPr>
        <w:spacing w:after="200" w:line="276" w:lineRule="auto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br w:type="page"/>
      </w:r>
    </w:p>
    <w:p w:rsidR="00854A00" w:rsidRPr="00EC4C36" w:rsidRDefault="00854A00" w:rsidP="002F2D59">
      <w:pPr>
        <w:spacing w:after="120"/>
        <w:jc w:val="both"/>
        <w:rPr>
          <w:rFonts w:ascii="Arial" w:hAnsi="Arial" w:cs="Arial"/>
          <w:b/>
          <w:bCs/>
          <w:sz w:val="22"/>
          <w:szCs w:val="28"/>
        </w:rPr>
      </w:pPr>
      <w:r w:rsidRPr="00EC4C36">
        <w:rPr>
          <w:rFonts w:ascii="Arial" w:hAnsi="Arial" w:cs="Arial"/>
          <w:b/>
          <w:sz w:val="22"/>
          <w:szCs w:val="20"/>
        </w:rPr>
        <w:lastRenderedPageBreak/>
        <w:t>Přehled akcí do konce roku 201</w:t>
      </w:r>
      <w:r w:rsidR="002F2D59">
        <w:rPr>
          <w:rFonts w:ascii="Arial" w:hAnsi="Arial" w:cs="Arial"/>
          <w:b/>
          <w:sz w:val="22"/>
          <w:szCs w:val="20"/>
        </w:rPr>
        <w:t>6</w:t>
      </w:r>
      <w:r w:rsidRPr="00EC4C36">
        <w:rPr>
          <w:rFonts w:ascii="Arial" w:hAnsi="Arial" w:cs="Arial"/>
          <w:b/>
          <w:sz w:val="22"/>
          <w:szCs w:val="20"/>
        </w:rPr>
        <w:t xml:space="preserve"> – viz Příloha č. </w:t>
      </w:r>
      <w:r w:rsidR="002F2D59">
        <w:rPr>
          <w:rFonts w:ascii="Arial" w:hAnsi="Arial" w:cs="Arial"/>
          <w:b/>
          <w:sz w:val="22"/>
          <w:szCs w:val="20"/>
        </w:rPr>
        <w:t>4</w:t>
      </w:r>
      <w:r w:rsidRPr="00EC4C36">
        <w:rPr>
          <w:rFonts w:ascii="Arial" w:hAnsi="Arial" w:cs="Arial"/>
          <w:b/>
          <w:bCs/>
          <w:sz w:val="22"/>
          <w:szCs w:val="28"/>
        </w:rPr>
        <w:t xml:space="preserve"> 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</w:p>
    <w:p w:rsidR="00854A00" w:rsidRPr="00EC4C36" w:rsidRDefault="00EB45A7" w:rsidP="002F2D59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>Zimní prohlídkové trasy na jihočeských památkách</w:t>
      </w:r>
    </w:p>
    <w:p w:rsidR="000D5D9F" w:rsidRPr="000D5D9F" w:rsidRDefault="000D5D9F" w:rsidP="002F2D5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D5D9F">
        <w:rPr>
          <w:rFonts w:ascii="Arial" w:hAnsi="Arial" w:cs="Arial"/>
          <w:b/>
          <w:sz w:val="20"/>
          <w:szCs w:val="20"/>
        </w:rPr>
        <w:t>Zámek Hluboká</w:t>
      </w:r>
    </w:p>
    <w:p w:rsidR="00854A00" w:rsidRPr="006C4DCF" w:rsidRDefault="002F2D59" w:rsidP="002F2D5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Stálicí mezi zimními prohlídkovými trasami je</w:t>
      </w:r>
      <w:r w:rsidR="00854A00" w:rsidRPr="006C4DCF">
        <w:rPr>
          <w:rFonts w:ascii="Arial" w:hAnsi="Arial" w:cs="Arial"/>
          <w:sz w:val="20"/>
          <w:szCs w:val="20"/>
        </w:rPr>
        <w:t xml:space="preserve"> </w:t>
      </w:r>
      <w:r w:rsidR="00854A00" w:rsidRPr="006C4DCF">
        <w:rPr>
          <w:rFonts w:ascii="Arial" w:hAnsi="Arial" w:cs="Arial"/>
          <w:b/>
          <w:sz w:val="20"/>
          <w:szCs w:val="20"/>
        </w:rPr>
        <w:t>zámek Hluboká</w:t>
      </w:r>
      <w:r>
        <w:rPr>
          <w:rFonts w:ascii="Arial" w:hAnsi="Arial" w:cs="Arial"/>
          <w:sz w:val="20"/>
          <w:szCs w:val="20"/>
        </w:rPr>
        <w:t>, který je otevřený veřejnosti celoročně již devátou sezónu</w:t>
      </w:r>
      <w:r w:rsidR="00854A00" w:rsidRPr="006C4DCF">
        <w:rPr>
          <w:rFonts w:ascii="Arial" w:hAnsi="Arial" w:cs="Arial"/>
          <w:sz w:val="20"/>
          <w:szCs w:val="20"/>
        </w:rPr>
        <w:t xml:space="preserve">. Návštěvníci </w:t>
      </w:r>
      <w:r>
        <w:rPr>
          <w:rFonts w:ascii="Arial" w:hAnsi="Arial" w:cs="Arial"/>
          <w:sz w:val="20"/>
          <w:szCs w:val="20"/>
        </w:rPr>
        <w:t>si prohlédnou celkem devět temperovaných pokojů představujících</w:t>
      </w:r>
      <w:r>
        <w:rPr>
          <w:rFonts w:ascii="Arial" w:hAnsi="Arial" w:cs="Arial"/>
          <w:bCs/>
          <w:sz w:val="20"/>
          <w:szCs w:val="20"/>
        </w:rPr>
        <w:t xml:space="preserve"> soukromá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apartmá</w:t>
      </w:r>
      <w:r w:rsidR="00854A00" w:rsidRPr="006C4DCF">
        <w:rPr>
          <w:rFonts w:ascii="Arial" w:hAnsi="Arial" w:cs="Arial"/>
          <w:sz w:val="20"/>
          <w:szCs w:val="20"/>
        </w:rPr>
        <w:t xml:space="preserve"> posledních čtyř generací majitelů hlubockého panství - </w:t>
      </w:r>
      <w:r w:rsidR="00854A00" w:rsidRPr="006C4DCF">
        <w:rPr>
          <w:rFonts w:ascii="Arial" w:hAnsi="Arial" w:cs="Arial"/>
          <w:bCs/>
          <w:sz w:val="20"/>
          <w:szCs w:val="20"/>
        </w:rPr>
        <w:t>Schwarzenbergů</w:t>
      </w:r>
      <w:r w:rsidR="00854A00" w:rsidRPr="006C4DCF">
        <w:rPr>
          <w:rFonts w:ascii="Arial" w:hAnsi="Arial" w:cs="Arial"/>
          <w:sz w:val="20"/>
          <w:szCs w:val="20"/>
        </w:rPr>
        <w:t xml:space="preserve">. Trasa </w:t>
      </w:r>
      <w:r>
        <w:rPr>
          <w:rFonts w:ascii="Arial" w:hAnsi="Arial" w:cs="Arial"/>
          <w:sz w:val="20"/>
          <w:szCs w:val="20"/>
        </w:rPr>
        <w:t>začíná</w:t>
      </w:r>
      <w:r w:rsidR="00854A00" w:rsidRPr="006C4DC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="00854A00" w:rsidRPr="006C4DCF">
        <w:rPr>
          <w:rFonts w:ascii="Arial" w:hAnsi="Arial" w:cs="Arial"/>
          <w:sz w:val="20"/>
          <w:szCs w:val="20"/>
        </w:rPr>
        <w:t> </w:t>
      </w:r>
      <w:proofErr w:type="spellStart"/>
      <w:r w:rsidR="00854A00" w:rsidRPr="006C4DCF">
        <w:rPr>
          <w:rFonts w:ascii="Arial" w:hAnsi="Arial" w:cs="Arial"/>
          <w:i/>
          <w:iCs/>
          <w:sz w:val="20"/>
          <w:szCs w:val="20"/>
        </w:rPr>
        <w:t>Hamiltonov</w:t>
      </w:r>
      <w:r>
        <w:rPr>
          <w:rFonts w:ascii="Arial" w:hAnsi="Arial" w:cs="Arial"/>
          <w:i/>
          <w:iCs/>
          <w:sz w:val="20"/>
          <w:szCs w:val="20"/>
        </w:rPr>
        <w:t>ě</w:t>
      </w:r>
      <w:proofErr w:type="spellEnd"/>
      <w:r w:rsidR="00854A00" w:rsidRPr="006C4DCF">
        <w:rPr>
          <w:rFonts w:ascii="Arial" w:hAnsi="Arial" w:cs="Arial"/>
          <w:i/>
          <w:iCs/>
          <w:sz w:val="20"/>
          <w:szCs w:val="20"/>
        </w:rPr>
        <w:t xml:space="preserve"> salonu kněžny Terezie</w:t>
      </w:r>
      <w:r w:rsidR="00854A00" w:rsidRPr="006C4DC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pokračuje</w:t>
      </w:r>
      <w:r w:rsidR="00854A00" w:rsidRPr="006C4DCF">
        <w:rPr>
          <w:rFonts w:ascii="Arial" w:hAnsi="Arial" w:cs="Arial"/>
          <w:sz w:val="20"/>
          <w:szCs w:val="20"/>
        </w:rPr>
        <w:t xml:space="preserve"> přes 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Kuřácký salon</w:t>
      </w:r>
      <w:r w:rsidR="00854A00" w:rsidRPr="006C4DCF">
        <w:rPr>
          <w:rFonts w:ascii="Arial" w:hAnsi="Arial" w:cs="Arial"/>
          <w:sz w:val="20"/>
          <w:szCs w:val="20"/>
        </w:rPr>
        <w:t xml:space="preserve"> do 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Tereziiny Malé jídelny</w:t>
      </w:r>
      <w:r>
        <w:rPr>
          <w:rFonts w:ascii="Arial" w:hAnsi="Arial" w:cs="Arial"/>
          <w:sz w:val="20"/>
          <w:szCs w:val="20"/>
        </w:rPr>
        <w:t xml:space="preserve">. Téma lovu se objevuje nejen </w:t>
      </w:r>
      <w:r w:rsidR="00EB45A7">
        <w:rPr>
          <w:rFonts w:ascii="Arial" w:hAnsi="Arial" w:cs="Arial"/>
          <w:sz w:val="20"/>
          <w:szCs w:val="20"/>
        </w:rPr>
        <w:t>na chodbách v podobě vystavených trofejí, ale významný prostor je mu věnován v honosné</w:t>
      </w:r>
      <w:r w:rsidR="00854A00" w:rsidRPr="006C4DCF">
        <w:rPr>
          <w:rFonts w:ascii="Arial" w:hAnsi="Arial" w:cs="Arial"/>
          <w:sz w:val="20"/>
          <w:szCs w:val="20"/>
        </w:rPr>
        <w:t xml:space="preserve"> </w:t>
      </w:r>
      <w:r w:rsidR="00EB45A7">
        <w:rPr>
          <w:rFonts w:ascii="Arial" w:hAnsi="Arial" w:cs="Arial"/>
          <w:i/>
          <w:iCs/>
          <w:sz w:val="20"/>
          <w:szCs w:val="20"/>
        </w:rPr>
        <w:t>Lovecké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 xml:space="preserve"> jídeln</w:t>
      </w:r>
      <w:r w:rsidR="00EB45A7">
        <w:rPr>
          <w:rFonts w:ascii="Arial" w:hAnsi="Arial" w:cs="Arial"/>
          <w:i/>
          <w:iCs/>
          <w:sz w:val="20"/>
          <w:szCs w:val="20"/>
        </w:rPr>
        <w:t>ě.</w:t>
      </w:r>
      <w:r w:rsidR="00EB45A7">
        <w:rPr>
          <w:rFonts w:ascii="Arial" w:hAnsi="Arial" w:cs="Arial"/>
          <w:iCs/>
          <w:sz w:val="20"/>
          <w:szCs w:val="20"/>
        </w:rPr>
        <w:t xml:space="preserve"> Opominuta nezůstává ani</w:t>
      </w:r>
      <w:r w:rsidR="00854A00" w:rsidRPr="006C4DCF">
        <w:rPr>
          <w:rFonts w:ascii="Arial" w:hAnsi="Arial" w:cs="Arial"/>
          <w:sz w:val="20"/>
          <w:szCs w:val="20"/>
        </w:rPr>
        <w:t> 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Přípravn</w:t>
      </w:r>
      <w:r w:rsidR="00EB45A7">
        <w:rPr>
          <w:rFonts w:ascii="Arial" w:hAnsi="Arial" w:cs="Arial"/>
          <w:i/>
          <w:iCs/>
          <w:sz w:val="20"/>
          <w:szCs w:val="20"/>
        </w:rPr>
        <w:t>a jídel</w:t>
      </w:r>
      <w:r w:rsidR="00EB45A7">
        <w:rPr>
          <w:rFonts w:ascii="Arial" w:hAnsi="Arial" w:cs="Arial"/>
          <w:iCs/>
          <w:sz w:val="20"/>
          <w:szCs w:val="20"/>
        </w:rPr>
        <w:t xml:space="preserve"> vedoucí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 xml:space="preserve"> </w:t>
      </w:r>
      <w:r w:rsidR="00854A00" w:rsidRPr="006C4DCF">
        <w:rPr>
          <w:rFonts w:ascii="Arial" w:hAnsi="Arial" w:cs="Arial"/>
          <w:sz w:val="20"/>
          <w:szCs w:val="20"/>
        </w:rPr>
        <w:t xml:space="preserve">do 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Malé jídelny Dr. Adolfa</w:t>
      </w:r>
      <w:r w:rsidR="00EB45A7">
        <w:rPr>
          <w:rFonts w:ascii="Arial" w:hAnsi="Arial" w:cs="Arial"/>
          <w:sz w:val="20"/>
          <w:szCs w:val="20"/>
        </w:rPr>
        <w:t xml:space="preserve"> </w:t>
      </w:r>
      <w:r w:rsidR="00854A00" w:rsidRPr="006C4DCF">
        <w:rPr>
          <w:rFonts w:ascii="Arial" w:hAnsi="Arial" w:cs="Arial"/>
          <w:sz w:val="20"/>
          <w:szCs w:val="20"/>
        </w:rPr>
        <w:t>a</w:t>
      </w:r>
      <w:r w:rsidR="00EB45A7">
        <w:rPr>
          <w:rFonts w:ascii="Arial" w:hAnsi="Arial" w:cs="Arial"/>
          <w:sz w:val="20"/>
          <w:szCs w:val="20"/>
        </w:rPr>
        <w:t xml:space="preserve"> celá prohlídka</w:t>
      </w:r>
      <w:r w:rsidR="00854A00" w:rsidRPr="006C4DCF">
        <w:rPr>
          <w:rFonts w:ascii="Arial" w:hAnsi="Arial" w:cs="Arial"/>
          <w:sz w:val="20"/>
          <w:szCs w:val="20"/>
        </w:rPr>
        <w:t> vrcholí v </w:t>
      </w:r>
      <w:r w:rsidR="00EB45A7">
        <w:rPr>
          <w:rFonts w:ascii="Arial" w:hAnsi="Arial" w:cs="Arial"/>
          <w:sz w:val="20"/>
          <w:szCs w:val="20"/>
        </w:rPr>
        <w:t>třech dalších místnostech –</w:t>
      </w:r>
      <w:r w:rsidR="00854A00" w:rsidRPr="006C4DCF">
        <w:rPr>
          <w:rFonts w:ascii="Arial" w:hAnsi="Arial" w:cs="Arial"/>
          <w:sz w:val="20"/>
          <w:szCs w:val="20"/>
        </w:rPr>
        <w:t xml:space="preserve"> 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Pracovně</w:t>
      </w:r>
      <w:r w:rsidR="00854A00" w:rsidRPr="006C4DCF">
        <w:rPr>
          <w:rFonts w:ascii="Arial" w:hAnsi="Arial" w:cs="Arial"/>
          <w:sz w:val="20"/>
          <w:szCs w:val="20"/>
        </w:rPr>
        <w:t xml:space="preserve">, 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Obývacím pokoji</w:t>
      </w:r>
      <w:r w:rsidR="00854A00" w:rsidRPr="006C4DCF">
        <w:rPr>
          <w:rFonts w:ascii="Arial" w:hAnsi="Arial" w:cs="Arial"/>
          <w:sz w:val="20"/>
          <w:szCs w:val="20"/>
        </w:rPr>
        <w:t xml:space="preserve"> a končí v </w:t>
      </w:r>
      <w:r w:rsidR="00854A00" w:rsidRPr="006C4DCF">
        <w:rPr>
          <w:rFonts w:ascii="Arial" w:hAnsi="Arial" w:cs="Arial"/>
          <w:i/>
          <w:iCs/>
          <w:sz w:val="20"/>
          <w:szCs w:val="20"/>
        </w:rPr>
        <w:t>Ložnici</w:t>
      </w:r>
      <w:r w:rsidR="00854A00" w:rsidRPr="006C4DCF">
        <w:rPr>
          <w:rFonts w:ascii="Arial" w:hAnsi="Arial" w:cs="Arial"/>
          <w:sz w:val="20"/>
          <w:szCs w:val="20"/>
        </w:rPr>
        <w:t>. Bohatá výzdoba místností představuje kolekci loveckých zbraní, trofejí, ale též porcelánu, grafických listů nebo tapisérií. Raritou je i splachovací toaleta z počátku 20. století. Poslední majitel, Dr. Adolf Schwarzenberg, obýval své pokoje až do roku 1939, kdy emigroval se svou manželkou Hildou před nacisty do zámoří.</w:t>
      </w:r>
    </w:p>
    <w:p w:rsidR="00854A00" w:rsidRPr="006C4DCF" w:rsidRDefault="00854A00" w:rsidP="002F2D59">
      <w:pPr>
        <w:jc w:val="both"/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sz w:val="20"/>
          <w:szCs w:val="20"/>
        </w:rPr>
        <w:t xml:space="preserve">Pokoje jsou v zimě temperovány. </w:t>
      </w:r>
      <w:r w:rsidRPr="006C4DCF">
        <w:rPr>
          <w:rFonts w:ascii="Arial" w:hAnsi="Arial" w:cs="Arial"/>
          <w:b/>
          <w:sz w:val="20"/>
          <w:szCs w:val="20"/>
        </w:rPr>
        <w:t>Otevřeno</w:t>
      </w:r>
      <w:r w:rsidRPr="006C4DCF">
        <w:rPr>
          <w:rFonts w:ascii="Arial" w:hAnsi="Arial" w:cs="Arial"/>
          <w:sz w:val="20"/>
          <w:szCs w:val="20"/>
        </w:rPr>
        <w:t xml:space="preserve"> je </w:t>
      </w:r>
      <w:r w:rsidRPr="006C4DCF">
        <w:rPr>
          <w:rFonts w:ascii="Arial" w:hAnsi="Arial" w:cs="Arial"/>
          <w:b/>
          <w:bCs/>
          <w:sz w:val="20"/>
          <w:szCs w:val="20"/>
        </w:rPr>
        <w:t>denně kromě pondělí od 10 do 16 hodin</w:t>
      </w:r>
      <w:r w:rsidRPr="006C4DCF">
        <w:rPr>
          <w:rFonts w:ascii="Arial" w:hAnsi="Arial" w:cs="Arial"/>
          <w:sz w:val="20"/>
          <w:szCs w:val="20"/>
        </w:rPr>
        <w:t>, kdy vychází poslední prohlídka. Během vánočních svátků je zavřeno. Více na </w:t>
      </w:r>
      <w:hyperlink r:id="rId7" w:history="1">
        <w:r w:rsidR="00EB45A7" w:rsidRPr="00955A74">
          <w:rPr>
            <w:rStyle w:val="Hypertextovodkaz"/>
            <w:rFonts w:ascii="Arial" w:hAnsi="Arial" w:cs="Arial"/>
            <w:sz w:val="20"/>
            <w:szCs w:val="20"/>
          </w:rPr>
          <w:t>https://www.zamek-hluboka.eu/cs/informace-pro-navstevniky/prohlidkove-okruhy/1496-zimni-prohlidkova-trasa</w:t>
        </w:r>
      </w:hyperlink>
      <w:r w:rsidR="00EB45A7">
        <w:rPr>
          <w:rFonts w:ascii="Arial" w:hAnsi="Arial" w:cs="Arial"/>
          <w:sz w:val="20"/>
          <w:szCs w:val="20"/>
        </w:rPr>
        <w:t xml:space="preserve">. 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</w:p>
    <w:p w:rsidR="00E84549" w:rsidRPr="001C5E46" w:rsidRDefault="00E84549" w:rsidP="002F2D59">
      <w:pPr>
        <w:jc w:val="both"/>
        <w:rPr>
          <w:rFonts w:ascii="Arial" w:hAnsi="Arial" w:cs="Arial"/>
          <w:sz w:val="20"/>
          <w:szCs w:val="20"/>
        </w:rPr>
      </w:pPr>
    </w:p>
    <w:p w:rsidR="00854A00" w:rsidRPr="000D5D9F" w:rsidRDefault="000D5D9F" w:rsidP="000D5D9F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0D5D9F">
        <w:rPr>
          <w:rFonts w:ascii="Arial" w:hAnsi="Arial" w:cs="Arial"/>
          <w:b/>
          <w:sz w:val="20"/>
          <w:szCs w:val="20"/>
        </w:rPr>
        <w:t>Hrad Rožmberk</w:t>
      </w:r>
    </w:p>
    <w:p w:rsidR="00854A00" w:rsidRDefault="00EB45A7" w:rsidP="002F2D5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Obraz o životě šlechty kolem poloviny 19. století si mohou návštěvníci sami vytvořit během zimní návštěvy </w:t>
      </w:r>
      <w:r w:rsidRPr="00EB45A7">
        <w:rPr>
          <w:rFonts w:ascii="Arial" w:hAnsi="Arial" w:cs="Arial"/>
          <w:b/>
          <w:sz w:val="20"/>
          <w:szCs w:val="20"/>
        </w:rPr>
        <w:t>hradu Rožmberk</w:t>
      </w:r>
      <w:r>
        <w:rPr>
          <w:rFonts w:ascii="Arial" w:hAnsi="Arial" w:cs="Arial"/>
          <w:sz w:val="20"/>
          <w:szCs w:val="20"/>
        </w:rPr>
        <w:t xml:space="preserve">. </w:t>
      </w:r>
      <w:r w:rsidR="00854A00">
        <w:rPr>
          <w:rFonts w:ascii="Arial" w:hAnsi="Arial" w:cs="Arial"/>
          <w:sz w:val="20"/>
          <w:szCs w:val="20"/>
        </w:rPr>
        <w:t xml:space="preserve">V rámci zimní prohlídkové trasy nahlédnou </w:t>
      </w:r>
      <w:r w:rsidR="00854A00" w:rsidRPr="006C4DCF">
        <w:rPr>
          <w:rFonts w:ascii="Arial" w:hAnsi="Arial" w:cs="Arial"/>
          <w:sz w:val="20"/>
          <w:szCs w:val="20"/>
        </w:rPr>
        <w:t xml:space="preserve">do soukromí šlechtického rodu </w:t>
      </w:r>
      <w:proofErr w:type="spellStart"/>
      <w:r w:rsidR="00854A00" w:rsidRPr="006C4DCF">
        <w:rPr>
          <w:rFonts w:ascii="Arial" w:hAnsi="Arial" w:cs="Arial"/>
          <w:sz w:val="20"/>
          <w:szCs w:val="20"/>
        </w:rPr>
        <w:t>Buquoy</w:t>
      </w:r>
      <w:proofErr w:type="spellEnd"/>
      <w:r w:rsidR="00854A00" w:rsidRPr="006C4DCF">
        <w:rPr>
          <w:rFonts w:ascii="Arial" w:hAnsi="Arial" w:cs="Arial"/>
          <w:sz w:val="20"/>
          <w:szCs w:val="20"/>
        </w:rPr>
        <w:t>.</w:t>
      </w:r>
      <w:r w:rsidR="000D5D9F">
        <w:rPr>
          <w:rFonts w:ascii="Arial" w:hAnsi="Arial" w:cs="Arial"/>
          <w:sz w:val="20"/>
          <w:szCs w:val="20"/>
        </w:rPr>
        <w:t xml:space="preserve"> S průvodcem se projdou několika místnostmi, které nechal k obytným účelům upravit </w:t>
      </w:r>
      <w:r w:rsidR="00854A00" w:rsidRPr="006C4DCF">
        <w:rPr>
          <w:rFonts w:ascii="Arial" w:hAnsi="Arial" w:cs="Arial"/>
          <w:sz w:val="20"/>
          <w:szCs w:val="20"/>
        </w:rPr>
        <w:t xml:space="preserve">Jiří Jan Jindřich </w:t>
      </w:r>
      <w:proofErr w:type="spellStart"/>
      <w:r w:rsidR="00854A00" w:rsidRPr="006C4DCF">
        <w:rPr>
          <w:rFonts w:ascii="Arial" w:hAnsi="Arial" w:cs="Arial"/>
          <w:sz w:val="20"/>
          <w:szCs w:val="20"/>
        </w:rPr>
        <w:t>Buquoy</w:t>
      </w:r>
      <w:proofErr w:type="spellEnd"/>
      <w:r w:rsidR="00854A00" w:rsidRPr="006C4DCF">
        <w:rPr>
          <w:rFonts w:ascii="Arial" w:hAnsi="Arial" w:cs="Arial"/>
          <w:sz w:val="20"/>
          <w:szCs w:val="20"/>
        </w:rPr>
        <w:t xml:space="preserve"> ve druhém patře hradu</w:t>
      </w:r>
      <w:r w:rsidR="000D5D9F">
        <w:rPr>
          <w:rFonts w:ascii="Arial" w:hAnsi="Arial" w:cs="Arial"/>
          <w:sz w:val="20"/>
          <w:szCs w:val="20"/>
        </w:rPr>
        <w:t xml:space="preserve"> v době, kdy zde budoval rodové muzeum. Pokoje prošly v letech 2008–2009 nákladnou rekonstrukcí a v současné době jsou během zimy temperovány. Díky tomu si mohou zájemci prohlédnout jídelnu</w:t>
      </w:r>
      <w:r w:rsidR="00854A00" w:rsidRPr="006C4DCF">
        <w:rPr>
          <w:rFonts w:ascii="Arial" w:hAnsi="Arial" w:cs="Arial"/>
          <w:sz w:val="20"/>
          <w:szCs w:val="20"/>
        </w:rPr>
        <w:t>, salon, hern</w:t>
      </w:r>
      <w:r w:rsidR="000D5D9F">
        <w:rPr>
          <w:rFonts w:ascii="Arial" w:hAnsi="Arial" w:cs="Arial"/>
          <w:sz w:val="20"/>
          <w:szCs w:val="20"/>
        </w:rPr>
        <w:t>u</w:t>
      </w:r>
      <w:r w:rsidR="00854A00" w:rsidRPr="006C4DCF">
        <w:rPr>
          <w:rFonts w:ascii="Arial" w:hAnsi="Arial" w:cs="Arial"/>
          <w:sz w:val="20"/>
          <w:szCs w:val="20"/>
        </w:rPr>
        <w:t xml:space="preserve"> a pracovn</w:t>
      </w:r>
      <w:r w:rsidR="000D5D9F">
        <w:rPr>
          <w:rFonts w:ascii="Arial" w:hAnsi="Arial" w:cs="Arial"/>
          <w:sz w:val="20"/>
          <w:szCs w:val="20"/>
        </w:rPr>
        <w:t>u</w:t>
      </w:r>
      <w:r w:rsidR="00854A00" w:rsidRPr="006C4DCF">
        <w:rPr>
          <w:rFonts w:ascii="Arial" w:hAnsi="Arial" w:cs="Arial"/>
          <w:sz w:val="20"/>
          <w:szCs w:val="20"/>
        </w:rPr>
        <w:t xml:space="preserve">. V případě příznivého počasí </w:t>
      </w:r>
      <w:r w:rsidR="000D5D9F">
        <w:rPr>
          <w:rFonts w:ascii="Arial" w:hAnsi="Arial" w:cs="Arial"/>
          <w:sz w:val="20"/>
          <w:szCs w:val="20"/>
        </w:rPr>
        <w:t>vystoupají též na Anglickou věž, z níž se jim naskytne neopakovatelný výhled na město a okolní krajinu.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sz w:val="20"/>
          <w:szCs w:val="20"/>
        </w:rPr>
        <w:t xml:space="preserve">Otevřeno je </w:t>
      </w:r>
      <w:r>
        <w:rPr>
          <w:rFonts w:ascii="Arial" w:hAnsi="Arial" w:cs="Arial"/>
          <w:b/>
          <w:sz w:val="20"/>
          <w:szCs w:val="20"/>
        </w:rPr>
        <w:t>od listopadu 201</w:t>
      </w:r>
      <w:r w:rsidR="000D5D9F">
        <w:rPr>
          <w:rFonts w:ascii="Arial" w:hAnsi="Arial" w:cs="Arial"/>
          <w:b/>
          <w:sz w:val="20"/>
          <w:szCs w:val="20"/>
        </w:rPr>
        <w:t>6</w:t>
      </w:r>
      <w:r w:rsidRPr="006C4DCF">
        <w:rPr>
          <w:rFonts w:ascii="Arial" w:hAnsi="Arial" w:cs="Arial"/>
          <w:b/>
          <w:sz w:val="20"/>
          <w:szCs w:val="20"/>
        </w:rPr>
        <w:t xml:space="preserve"> do března 201</w:t>
      </w:r>
      <w:r w:rsidR="000D5D9F">
        <w:rPr>
          <w:rFonts w:ascii="Arial" w:hAnsi="Arial" w:cs="Arial"/>
          <w:b/>
          <w:sz w:val="20"/>
          <w:szCs w:val="20"/>
        </w:rPr>
        <w:t>7</w:t>
      </w:r>
      <w:r w:rsidRPr="006C4DCF">
        <w:rPr>
          <w:rFonts w:ascii="Arial" w:hAnsi="Arial" w:cs="Arial"/>
          <w:sz w:val="20"/>
          <w:szCs w:val="20"/>
        </w:rPr>
        <w:t xml:space="preserve"> </w:t>
      </w:r>
      <w:r w:rsidRPr="006C4DCF">
        <w:rPr>
          <w:rFonts w:ascii="Arial" w:hAnsi="Arial" w:cs="Arial"/>
          <w:b/>
          <w:bCs/>
          <w:sz w:val="20"/>
          <w:szCs w:val="20"/>
        </w:rPr>
        <w:t>v úterý až pátek</w:t>
      </w:r>
      <w:r w:rsidRPr="006C4DCF">
        <w:rPr>
          <w:rFonts w:ascii="Arial" w:hAnsi="Arial" w:cs="Arial"/>
          <w:b/>
          <w:sz w:val="20"/>
          <w:szCs w:val="20"/>
        </w:rPr>
        <w:t xml:space="preserve"> vždy </w:t>
      </w:r>
      <w:r w:rsidRPr="006C4DCF">
        <w:rPr>
          <w:rFonts w:ascii="Arial" w:hAnsi="Arial" w:cs="Arial"/>
          <w:b/>
          <w:bCs/>
          <w:sz w:val="20"/>
          <w:szCs w:val="20"/>
        </w:rPr>
        <w:t>v 11 a ve 13 hodin</w:t>
      </w:r>
      <w:r w:rsidRPr="006C4DCF">
        <w:rPr>
          <w:rFonts w:ascii="Arial" w:hAnsi="Arial" w:cs="Arial"/>
          <w:sz w:val="20"/>
          <w:szCs w:val="20"/>
        </w:rPr>
        <w:t xml:space="preserve">, </w:t>
      </w:r>
      <w:r w:rsidRPr="006C4DCF">
        <w:rPr>
          <w:rFonts w:ascii="Arial" w:hAnsi="Arial" w:cs="Arial"/>
          <w:bCs/>
          <w:sz w:val="20"/>
          <w:szCs w:val="20"/>
        </w:rPr>
        <w:t>o víkendech v 10, 11, 12, 13, 14 a 15</w:t>
      </w:r>
      <w:r w:rsidRPr="006C4DCF">
        <w:rPr>
          <w:rFonts w:ascii="Arial" w:hAnsi="Arial" w:cs="Arial"/>
          <w:sz w:val="20"/>
          <w:szCs w:val="20"/>
        </w:rPr>
        <w:t xml:space="preserve"> </w:t>
      </w:r>
      <w:r w:rsidRPr="006C4DCF">
        <w:rPr>
          <w:rFonts w:ascii="Arial" w:hAnsi="Arial" w:cs="Arial"/>
          <w:bCs/>
          <w:sz w:val="20"/>
          <w:szCs w:val="20"/>
        </w:rPr>
        <w:t>hodin</w:t>
      </w:r>
      <w:r w:rsidRPr="006C4DCF">
        <w:rPr>
          <w:rFonts w:ascii="Arial" w:hAnsi="Arial" w:cs="Arial"/>
          <w:sz w:val="20"/>
          <w:szCs w:val="20"/>
        </w:rPr>
        <w:t xml:space="preserve">. Pro skupiny lze zajistit i jiný čas prohlídky na emailu </w:t>
      </w:r>
      <w:hyperlink r:id="rId8" w:history="1">
        <w:r w:rsidRPr="006C4DCF">
          <w:rPr>
            <w:rStyle w:val="Hypertextovodkaz"/>
            <w:rFonts w:ascii="Arial" w:hAnsi="Arial" w:cs="Arial"/>
            <w:sz w:val="20"/>
            <w:szCs w:val="20"/>
          </w:rPr>
          <w:t>rozmberk@npu.cz</w:t>
        </w:r>
      </w:hyperlink>
      <w:r w:rsidRPr="006C4DCF">
        <w:rPr>
          <w:rFonts w:ascii="Arial" w:hAnsi="Arial" w:cs="Arial"/>
          <w:sz w:val="20"/>
          <w:szCs w:val="20"/>
        </w:rPr>
        <w:t xml:space="preserve"> nebo na telefonu </w:t>
      </w:r>
      <w:r w:rsidRPr="006C4DCF">
        <w:rPr>
          <w:rFonts w:ascii="Arial" w:hAnsi="Arial" w:cs="Arial"/>
          <w:bCs/>
          <w:sz w:val="20"/>
          <w:szCs w:val="20"/>
        </w:rPr>
        <w:t>380 749 838</w:t>
      </w:r>
      <w:r w:rsidRPr="006C4DCF">
        <w:rPr>
          <w:rFonts w:ascii="Arial" w:hAnsi="Arial" w:cs="Arial"/>
          <w:sz w:val="20"/>
          <w:szCs w:val="20"/>
        </w:rPr>
        <w:t xml:space="preserve">. </w:t>
      </w:r>
      <w:r w:rsidR="000D5D9F" w:rsidRPr="000D5D9F">
        <w:rPr>
          <w:rFonts w:ascii="Arial" w:hAnsi="Arial" w:cs="Arial"/>
          <w:b/>
          <w:sz w:val="20"/>
          <w:szCs w:val="20"/>
        </w:rPr>
        <w:t xml:space="preserve">Od 12. prosince 2016 do 2. ledna 2017 </w:t>
      </w:r>
      <w:r w:rsidRPr="000D5D9F">
        <w:rPr>
          <w:rFonts w:ascii="Arial" w:hAnsi="Arial" w:cs="Arial"/>
          <w:b/>
          <w:sz w:val="20"/>
          <w:szCs w:val="20"/>
        </w:rPr>
        <w:t>je zavřeno</w:t>
      </w:r>
      <w:r w:rsidRPr="006C4DCF">
        <w:rPr>
          <w:rFonts w:ascii="Arial" w:hAnsi="Arial" w:cs="Arial"/>
          <w:sz w:val="20"/>
          <w:szCs w:val="20"/>
        </w:rPr>
        <w:t>. Více na </w:t>
      </w:r>
      <w:hyperlink r:id="rId9" w:history="1">
        <w:r w:rsidR="000D5D9F" w:rsidRPr="00955A74">
          <w:rPr>
            <w:rStyle w:val="Hypertextovodkaz"/>
            <w:rFonts w:ascii="Arial" w:hAnsi="Arial" w:cs="Arial"/>
            <w:sz w:val="20"/>
            <w:szCs w:val="20"/>
          </w:rPr>
          <w:t>https://www.hrad-rozmberk.eu/cs/informace-pro-navstevniky/prohlidkove-okruhy/6164-2-trasa-soukrome-pokoje</w:t>
        </w:r>
      </w:hyperlink>
      <w:r w:rsidR="000D5D9F">
        <w:rPr>
          <w:rFonts w:ascii="Arial" w:hAnsi="Arial" w:cs="Arial"/>
          <w:sz w:val="20"/>
          <w:szCs w:val="20"/>
        </w:rPr>
        <w:t xml:space="preserve">. 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15F00" w:rsidRDefault="00215F00" w:rsidP="002F2D59">
      <w:pPr>
        <w:jc w:val="both"/>
        <w:rPr>
          <w:rFonts w:ascii="Arial" w:hAnsi="Arial" w:cs="Arial"/>
          <w:sz w:val="20"/>
          <w:szCs w:val="20"/>
        </w:rPr>
      </w:pPr>
    </w:p>
    <w:p w:rsidR="00854A00" w:rsidRPr="00AB2D6B" w:rsidRDefault="00AB2D6B" w:rsidP="00AB2D6B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AB2D6B">
        <w:rPr>
          <w:rFonts w:ascii="Arial" w:hAnsi="Arial" w:cs="Arial"/>
          <w:b/>
          <w:sz w:val="20"/>
          <w:szCs w:val="20"/>
        </w:rPr>
        <w:t>Hradní muzeum Český Krumlov</w:t>
      </w:r>
    </w:p>
    <w:p w:rsidR="00854A00" w:rsidRPr="006C4DCF" w:rsidRDefault="00AB2D6B" w:rsidP="002F2D59">
      <w:pPr>
        <w:spacing w:after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Celoročním provozem se již šestou zimní sezonu pyšní </w:t>
      </w:r>
      <w:r w:rsidR="00854A00" w:rsidRPr="00B27C6A">
        <w:rPr>
          <w:rFonts w:ascii="Arial" w:hAnsi="Arial" w:cs="Arial"/>
          <w:b/>
          <w:bCs/>
          <w:sz w:val="20"/>
          <w:szCs w:val="20"/>
        </w:rPr>
        <w:t>Hradní muzeum v Českém Krumlově</w:t>
      </w:r>
      <w:r>
        <w:rPr>
          <w:rFonts w:ascii="Arial" w:hAnsi="Arial" w:cs="Arial"/>
          <w:bCs/>
          <w:sz w:val="20"/>
          <w:szCs w:val="20"/>
        </w:rPr>
        <w:t>. Milovníci historie a kulturního dědictví mohou strávit příjemné a zároveň poučné chvíle</w:t>
      </w:r>
      <w:r w:rsidR="00854A00" w:rsidRPr="000762AF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  <w:r w:rsidR="00854A00" w:rsidRPr="000762AF">
        <w:rPr>
          <w:rFonts w:ascii="Arial" w:hAnsi="Arial" w:cs="Arial"/>
          <w:bCs/>
          <w:sz w:val="20"/>
          <w:szCs w:val="20"/>
        </w:rPr>
        <w:t>v prostorách nejstarší dochované části krumlovské rezidence, v tzv. Hrádku s věží na II. zámeckém nádvoří</w:t>
      </w:r>
      <w:r w:rsidR="00854A00">
        <w:rPr>
          <w:rFonts w:ascii="Arial" w:hAnsi="Arial" w:cs="Arial"/>
          <w:bCs/>
          <w:sz w:val="20"/>
          <w:szCs w:val="20"/>
        </w:rPr>
        <w:t xml:space="preserve">. </w:t>
      </w:r>
      <w:r>
        <w:rPr>
          <w:rFonts w:ascii="Arial" w:hAnsi="Arial" w:cs="Arial"/>
          <w:bCs/>
          <w:sz w:val="20"/>
          <w:szCs w:val="20"/>
        </w:rPr>
        <w:t>Tamní e</w:t>
      </w:r>
      <w:r w:rsidR="00854A00" w:rsidRPr="006C4DCF">
        <w:rPr>
          <w:rFonts w:ascii="Arial" w:hAnsi="Arial" w:cs="Arial"/>
          <w:bCs/>
          <w:sz w:val="20"/>
          <w:szCs w:val="20"/>
        </w:rPr>
        <w:t>xpozice</w:t>
      </w:r>
      <w:r>
        <w:rPr>
          <w:rFonts w:ascii="Arial" w:hAnsi="Arial" w:cs="Arial"/>
          <w:bCs/>
          <w:sz w:val="20"/>
          <w:szCs w:val="20"/>
        </w:rPr>
        <w:t xml:space="preserve"> zaujme už sama o sobě tím, že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na rozdíl od standardních muzeí je pojata jako historická 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muzejní instalace 19. století. </w:t>
      </w:r>
      <w:r>
        <w:rPr>
          <w:rFonts w:ascii="Arial" w:hAnsi="Arial" w:cs="Arial"/>
          <w:bCs/>
          <w:sz w:val="20"/>
          <w:szCs w:val="20"/>
        </w:rPr>
        <w:t>Návštěvníkům je představen soukromý i pracovní život ředitele schwarzenberského panství. Autenticitu prostředí umocňují nejen stovky exponátů, ale též předměty každodenní potřeby jako například historická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svítidl</w:t>
      </w:r>
      <w:r>
        <w:rPr>
          <w:rFonts w:ascii="Arial" w:hAnsi="Arial" w:cs="Arial"/>
          <w:bCs/>
          <w:sz w:val="20"/>
          <w:szCs w:val="20"/>
        </w:rPr>
        <w:t>a či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zrestaurovan</w:t>
      </w:r>
      <w:r>
        <w:rPr>
          <w:rFonts w:ascii="Arial" w:hAnsi="Arial" w:cs="Arial"/>
          <w:bCs/>
          <w:sz w:val="20"/>
          <w:szCs w:val="20"/>
        </w:rPr>
        <w:t>á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kachlov</w:t>
      </w:r>
      <w:r>
        <w:rPr>
          <w:rFonts w:ascii="Arial" w:hAnsi="Arial" w:cs="Arial"/>
          <w:bCs/>
          <w:sz w:val="20"/>
          <w:szCs w:val="20"/>
        </w:rPr>
        <w:t>á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kamn</w:t>
      </w:r>
      <w:r>
        <w:rPr>
          <w:rFonts w:ascii="Arial" w:hAnsi="Arial" w:cs="Arial"/>
          <w:bCs/>
          <w:sz w:val="20"/>
          <w:szCs w:val="20"/>
        </w:rPr>
        <w:t>a.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Součástí expozice je </w:t>
      </w:r>
      <w:r>
        <w:rPr>
          <w:rFonts w:ascii="Arial" w:hAnsi="Arial" w:cs="Arial"/>
          <w:bCs/>
          <w:sz w:val="20"/>
          <w:szCs w:val="20"/>
        </w:rPr>
        <w:t xml:space="preserve">také </w:t>
      </w:r>
      <w:r w:rsidR="00854A00" w:rsidRPr="006C4DCF">
        <w:rPr>
          <w:rFonts w:ascii="Arial" w:hAnsi="Arial" w:cs="Arial"/>
          <w:bCs/>
          <w:sz w:val="20"/>
          <w:szCs w:val="20"/>
        </w:rPr>
        <w:t>zbrojnice, mincovna, klenotnice s ojedinělými církevními památkami</w:t>
      </w:r>
      <w:r>
        <w:rPr>
          <w:rFonts w:ascii="Arial" w:hAnsi="Arial" w:cs="Arial"/>
          <w:bCs/>
          <w:sz w:val="20"/>
          <w:szCs w:val="20"/>
        </w:rPr>
        <w:t xml:space="preserve"> jakým je relikviář s ostatky sv. </w:t>
      </w:r>
      <w:proofErr w:type="spellStart"/>
      <w:r>
        <w:rPr>
          <w:rFonts w:ascii="Arial" w:hAnsi="Arial" w:cs="Arial"/>
          <w:bCs/>
          <w:sz w:val="20"/>
          <w:szCs w:val="20"/>
        </w:rPr>
        <w:t>Reparáta</w:t>
      </w:r>
      <w:proofErr w:type="spellEnd"/>
      <w:r w:rsidR="00854A00" w:rsidRPr="006C4DCF">
        <w:rPr>
          <w:rFonts w:ascii="Arial" w:hAnsi="Arial" w:cs="Arial"/>
          <w:bCs/>
          <w:sz w:val="20"/>
          <w:szCs w:val="20"/>
        </w:rPr>
        <w:t>,</w:t>
      </w:r>
      <w:r w:rsidR="00854A00">
        <w:rPr>
          <w:rFonts w:ascii="Arial" w:hAnsi="Arial" w:cs="Arial"/>
          <w:bCs/>
          <w:sz w:val="20"/>
          <w:szCs w:val="20"/>
        </w:rPr>
        <w:t xml:space="preserve"> 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kinematograf promítající </w:t>
      </w:r>
      <w:proofErr w:type="spellStart"/>
      <w:r w:rsidR="00854A00" w:rsidRPr="006C4DCF">
        <w:rPr>
          <w:rFonts w:ascii="Arial" w:hAnsi="Arial" w:cs="Arial"/>
          <w:bCs/>
          <w:sz w:val="20"/>
          <w:szCs w:val="20"/>
        </w:rPr>
        <w:t>schwarzenberské</w:t>
      </w:r>
      <w:proofErr w:type="spellEnd"/>
      <w:r w:rsidR="00854A00" w:rsidRPr="006C4DCF">
        <w:rPr>
          <w:rFonts w:ascii="Arial" w:hAnsi="Arial" w:cs="Arial"/>
          <w:bCs/>
          <w:sz w:val="20"/>
          <w:szCs w:val="20"/>
        </w:rPr>
        <w:t xml:space="preserve"> filmy či rozměrný model hradu zachycující jeho podobu v polovině 16. století. Příjemn</w:t>
      </w:r>
      <w:r w:rsidR="00E84549">
        <w:rPr>
          <w:rFonts w:ascii="Arial" w:hAnsi="Arial" w:cs="Arial"/>
          <w:bCs/>
          <w:sz w:val="20"/>
          <w:szCs w:val="20"/>
        </w:rPr>
        <w:t>ý čas k odpočinku a vstřebání všech vjemů nabízí tamní</w:t>
      </w:r>
      <w:r w:rsidR="00854A00" w:rsidRPr="006C4DCF">
        <w:rPr>
          <w:rFonts w:ascii="Arial" w:hAnsi="Arial" w:cs="Arial"/>
          <w:bCs/>
          <w:sz w:val="20"/>
          <w:szCs w:val="20"/>
        </w:rPr>
        <w:t xml:space="preserve"> kavárna.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  <w:r w:rsidRPr="006C4DCF">
        <w:rPr>
          <w:rFonts w:ascii="Arial" w:hAnsi="Arial" w:cs="Arial"/>
          <w:bCs/>
          <w:sz w:val="20"/>
          <w:szCs w:val="20"/>
        </w:rPr>
        <w:t>Otevřeno je celoročně</w:t>
      </w:r>
      <w:r w:rsidRPr="006C4DCF">
        <w:rPr>
          <w:rFonts w:ascii="Arial" w:hAnsi="Arial" w:cs="Arial"/>
          <w:b/>
          <w:bCs/>
          <w:sz w:val="20"/>
          <w:szCs w:val="20"/>
        </w:rPr>
        <w:t xml:space="preserve"> od úterý do neděle od 9 do 1</w:t>
      </w:r>
      <w:r w:rsidR="00E84549">
        <w:rPr>
          <w:rFonts w:ascii="Arial" w:hAnsi="Arial" w:cs="Arial"/>
          <w:b/>
          <w:bCs/>
          <w:sz w:val="20"/>
          <w:szCs w:val="20"/>
        </w:rPr>
        <w:t>5</w:t>
      </w:r>
      <w:r w:rsidRPr="006C4DCF">
        <w:rPr>
          <w:rFonts w:ascii="Arial" w:hAnsi="Arial" w:cs="Arial"/>
          <w:b/>
          <w:bCs/>
          <w:sz w:val="20"/>
          <w:szCs w:val="20"/>
        </w:rPr>
        <w:t> hodin</w:t>
      </w:r>
      <w:r w:rsidRPr="006C4DCF">
        <w:rPr>
          <w:rFonts w:ascii="Arial" w:hAnsi="Arial" w:cs="Arial"/>
          <w:bCs/>
          <w:sz w:val="20"/>
          <w:szCs w:val="20"/>
        </w:rPr>
        <w:t>. Během vánočních svátků je zavřeno. Více na </w:t>
      </w:r>
      <w:hyperlink r:id="rId10" w:history="1">
        <w:r w:rsidR="00E84549" w:rsidRPr="00955A74">
          <w:rPr>
            <w:rStyle w:val="Hypertextovodkaz"/>
            <w:rFonts w:ascii="Arial" w:hAnsi="Arial" w:cs="Arial"/>
            <w:bCs/>
            <w:sz w:val="20"/>
            <w:szCs w:val="20"/>
          </w:rPr>
          <w:t>https://www.zamek-ceskykrumlov.eu/cs/informace-pro-navstevniky/prohlidkove-okruhy/1077-hradni-muzeum</w:t>
        </w:r>
      </w:hyperlink>
      <w:r w:rsidRPr="006C4DCF">
        <w:rPr>
          <w:rFonts w:ascii="Arial" w:hAnsi="Arial" w:cs="Arial"/>
          <w:bCs/>
          <w:sz w:val="20"/>
          <w:szCs w:val="20"/>
        </w:rPr>
        <w:t>.</w:t>
      </w:r>
      <w:r w:rsidR="00E84549">
        <w:rPr>
          <w:rFonts w:ascii="Arial" w:hAnsi="Arial" w:cs="Arial"/>
          <w:sz w:val="20"/>
          <w:szCs w:val="20"/>
        </w:rPr>
        <w:t xml:space="preserve"> 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</w:p>
    <w:p w:rsidR="00E84549" w:rsidRDefault="00E84549" w:rsidP="002F2D59">
      <w:pPr>
        <w:jc w:val="both"/>
        <w:rPr>
          <w:rFonts w:ascii="Arial" w:hAnsi="Arial" w:cs="Arial"/>
          <w:sz w:val="20"/>
          <w:szCs w:val="20"/>
        </w:rPr>
      </w:pPr>
    </w:p>
    <w:p w:rsidR="00854A00" w:rsidRPr="00E84549" w:rsidRDefault="00E84549" w:rsidP="00E8454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84549">
        <w:rPr>
          <w:rFonts w:ascii="Arial" w:hAnsi="Arial" w:cs="Arial"/>
          <w:b/>
          <w:sz w:val="20"/>
          <w:szCs w:val="20"/>
        </w:rPr>
        <w:t>Hrad Nové Hrady</w:t>
      </w:r>
    </w:p>
    <w:p w:rsidR="00452643" w:rsidRDefault="00854A00" w:rsidP="00452643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celoročně zpřístupněným památkám patří také </w:t>
      </w:r>
      <w:r w:rsidRPr="00DC510B">
        <w:rPr>
          <w:rFonts w:ascii="Arial" w:hAnsi="Arial" w:cs="Arial"/>
          <w:b/>
          <w:sz w:val="20"/>
          <w:szCs w:val="20"/>
        </w:rPr>
        <w:t>hrad Nové Hrady</w:t>
      </w:r>
      <w:r>
        <w:rPr>
          <w:rFonts w:ascii="Arial" w:hAnsi="Arial" w:cs="Arial"/>
          <w:sz w:val="20"/>
          <w:szCs w:val="20"/>
        </w:rPr>
        <w:t xml:space="preserve">. </w:t>
      </w:r>
      <w:r w:rsidR="00452643">
        <w:rPr>
          <w:rFonts w:ascii="Arial" w:hAnsi="Arial" w:cs="Arial"/>
          <w:sz w:val="20"/>
          <w:szCs w:val="20"/>
        </w:rPr>
        <w:t>V letošním roce se bude v listopadu provádět na první prohlídkové trase. Prohlídky budou vycházet vždy ve středu a v pátek ve 13 hodin česká a ve 14 hodin německá (s výjimkou 30. 11.). Otevřeno bude i v den státního svátku 17. listopadu, kdy jsou v plánu dvě české prohlídky – v 11 a 14 hodin.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Zimní prohlídková trasa</w:t>
      </w:r>
      <w:r w:rsidR="00452643">
        <w:rPr>
          <w:rFonts w:ascii="Arial" w:hAnsi="Arial" w:cs="Arial"/>
          <w:sz w:val="20"/>
          <w:szCs w:val="20"/>
        </w:rPr>
        <w:t xml:space="preserve"> se návštěvníkům otevře až během adventu a navštívit ji bude možné až do konce března.</w:t>
      </w:r>
      <w:r w:rsidR="00452643" w:rsidRPr="00452643">
        <w:rPr>
          <w:rFonts w:ascii="Arial" w:hAnsi="Arial" w:cs="Arial"/>
          <w:b/>
          <w:sz w:val="20"/>
          <w:szCs w:val="20"/>
        </w:rPr>
        <w:t xml:space="preserve"> </w:t>
      </w:r>
      <w:r w:rsidR="00452643" w:rsidRPr="00DC510B">
        <w:rPr>
          <w:rFonts w:ascii="Arial" w:hAnsi="Arial" w:cs="Arial"/>
          <w:b/>
          <w:sz w:val="20"/>
          <w:szCs w:val="20"/>
        </w:rPr>
        <w:t xml:space="preserve">Prohlídky </w:t>
      </w:r>
      <w:r w:rsidR="00452643">
        <w:rPr>
          <w:rFonts w:ascii="Arial" w:hAnsi="Arial" w:cs="Arial"/>
          <w:b/>
          <w:sz w:val="20"/>
          <w:szCs w:val="20"/>
        </w:rPr>
        <w:t xml:space="preserve">budou </w:t>
      </w:r>
      <w:r w:rsidR="00452643" w:rsidRPr="00DC510B">
        <w:rPr>
          <w:rFonts w:ascii="Arial" w:hAnsi="Arial" w:cs="Arial"/>
          <w:b/>
          <w:sz w:val="20"/>
          <w:szCs w:val="20"/>
        </w:rPr>
        <w:t>probíha</w:t>
      </w:r>
      <w:r w:rsidR="00452643">
        <w:rPr>
          <w:rFonts w:ascii="Arial" w:hAnsi="Arial" w:cs="Arial"/>
          <w:b/>
          <w:sz w:val="20"/>
          <w:szCs w:val="20"/>
        </w:rPr>
        <w:t>t</w:t>
      </w:r>
      <w:r w:rsidR="00452643" w:rsidRPr="00DC510B">
        <w:rPr>
          <w:rFonts w:ascii="Arial" w:hAnsi="Arial" w:cs="Arial"/>
          <w:b/>
          <w:sz w:val="20"/>
          <w:szCs w:val="20"/>
        </w:rPr>
        <w:t xml:space="preserve"> vždy ve středu a v pátek od 1</w:t>
      </w:r>
      <w:r w:rsidR="00452643">
        <w:rPr>
          <w:rFonts w:ascii="Arial" w:hAnsi="Arial" w:cs="Arial"/>
          <w:b/>
          <w:sz w:val="20"/>
          <w:szCs w:val="20"/>
        </w:rPr>
        <w:t>3</w:t>
      </w:r>
      <w:r w:rsidR="00452643" w:rsidRPr="00DC510B">
        <w:rPr>
          <w:rFonts w:ascii="Arial" w:hAnsi="Arial" w:cs="Arial"/>
          <w:b/>
          <w:sz w:val="20"/>
          <w:szCs w:val="20"/>
        </w:rPr>
        <w:t xml:space="preserve"> hodin</w:t>
      </w:r>
      <w:r w:rsidR="00452643">
        <w:rPr>
          <w:rFonts w:ascii="Arial" w:hAnsi="Arial" w:cs="Arial"/>
          <w:b/>
          <w:sz w:val="20"/>
          <w:szCs w:val="20"/>
        </w:rPr>
        <w:t xml:space="preserve"> česká a od 14 hodin německá</w:t>
      </w:r>
      <w:r w:rsidR="00452643">
        <w:rPr>
          <w:rFonts w:ascii="Arial" w:hAnsi="Arial" w:cs="Arial"/>
          <w:sz w:val="20"/>
          <w:szCs w:val="20"/>
        </w:rPr>
        <w:t xml:space="preserve">. Navíc se Byt panského úředníka otevře veřejnosti i během třech adventních víkendů </w:t>
      </w:r>
      <w:r w:rsidR="00452643" w:rsidRPr="00452643">
        <w:rPr>
          <w:rFonts w:ascii="Arial" w:hAnsi="Arial" w:cs="Arial"/>
          <w:b/>
          <w:sz w:val="20"/>
          <w:szCs w:val="20"/>
        </w:rPr>
        <w:t>od 3. do 18. prosince</w:t>
      </w:r>
      <w:r w:rsidR="0045264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Místnosti jsou vybavené autentickým nábytkem z pozůstalosti místního lékárníka, ale ukazují mimo jiné i sbírku impresionistických krajin z přelomu 19. a 20. století. Více na </w:t>
      </w:r>
      <w:hyperlink r:id="rId11" w:history="1">
        <w:r w:rsidRPr="00450D8B">
          <w:rPr>
            <w:rStyle w:val="Hypertextovodkaz"/>
            <w:rFonts w:ascii="Arial" w:hAnsi="Arial" w:cs="Arial"/>
            <w:sz w:val="20"/>
            <w:szCs w:val="20"/>
          </w:rPr>
          <w:t>http://www.hrad-novehrady.eu</w:t>
        </w:r>
      </w:hyperlink>
      <w:r>
        <w:rPr>
          <w:rFonts w:ascii="Arial" w:hAnsi="Arial" w:cs="Arial"/>
          <w:sz w:val="20"/>
          <w:szCs w:val="20"/>
        </w:rPr>
        <w:t xml:space="preserve">. </w:t>
      </w:r>
    </w:p>
    <w:p w:rsidR="00854A00" w:rsidRDefault="00854A00" w:rsidP="002F2D59">
      <w:pPr>
        <w:jc w:val="both"/>
        <w:rPr>
          <w:rFonts w:ascii="Arial" w:hAnsi="Arial" w:cs="Arial"/>
          <w:sz w:val="20"/>
          <w:szCs w:val="20"/>
        </w:rPr>
      </w:pPr>
    </w:p>
    <w:p w:rsidR="00E84549" w:rsidRDefault="00E84549" w:rsidP="002F2D59">
      <w:pPr>
        <w:jc w:val="both"/>
        <w:rPr>
          <w:rFonts w:ascii="Arial" w:hAnsi="Arial" w:cs="Arial"/>
          <w:sz w:val="20"/>
          <w:szCs w:val="20"/>
        </w:rPr>
      </w:pPr>
    </w:p>
    <w:p w:rsidR="00854A00" w:rsidRPr="00E84549" w:rsidRDefault="00E84549" w:rsidP="00E84549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E84549">
        <w:rPr>
          <w:rFonts w:ascii="Arial" w:hAnsi="Arial" w:cs="Arial"/>
          <w:b/>
          <w:sz w:val="20"/>
          <w:szCs w:val="20"/>
        </w:rPr>
        <w:t>Zámek Třeboň</w:t>
      </w:r>
    </w:p>
    <w:p w:rsidR="00854A00" w:rsidRDefault="00854A00" w:rsidP="002F2D59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Zimní prohlídky nabízí také </w:t>
      </w:r>
      <w:r w:rsidRPr="006C4DCF">
        <w:rPr>
          <w:rFonts w:ascii="Arial" w:hAnsi="Arial" w:cs="Arial"/>
          <w:b/>
          <w:sz w:val="20"/>
          <w:szCs w:val="20"/>
        </w:rPr>
        <w:t>zámek Třeboň</w:t>
      </w:r>
      <w:r>
        <w:rPr>
          <w:rFonts w:ascii="Arial" w:hAnsi="Arial" w:cs="Arial"/>
          <w:sz w:val="20"/>
          <w:szCs w:val="20"/>
        </w:rPr>
        <w:t xml:space="preserve">. </w:t>
      </w:r>
      <w:r w:rsidR="00EC79FA">
        <w:rPr>
          <w:rFonts w:ascii="Arial" w:hAnsi="Arial" w:cs="Arial"/>
          <w:sz w:val="20"/>
          <w:szCs w:val="20"/>
        </w:rPr>
        <w:t>Od listopadu 2016 do konce března 2017</w:t>
      </w:r>
      <w:r>
        <w:rPr>
          <w:rFonts w:ascii="Arial" w:hAnsi="Arial" w:cs="Arial"/>
          <w:sz w:val="20"/>
          <w:szCs w:val="20"/>
        </w:rPr>
        <w:t xml:space="preserve"> se návštěvníkům zpřístupní zámek </w:t>
      </w:r>
      <w:r w:rsidRPr="005D25A9">
        <w:rPr>
          <w:rFonts w:ascii="Arial" w:hAnsi="Arial" w:cs="Arial"/>
          <w:b/>
          <w:sz w:val="20"/>
          <w:szCs w:val="20"/>
        </w:rPr>
        <w:t>každé úterý od 14 hodin</w:t>
      </w:r>
      <w:r>
        <w:rPr>
          <w:rFonts w:ascii="Arial" w:hAnsi="Arial" w:cs="Arial"/>
          <w:sz w:val="20"/>
          <w:szCs w:val="20"/>
        </w:rPr>
        <w:t xml:space="preserve">. </w:t>
      </w:r>
      <w:r w:rsidR="00EC79FA">
        <w:rPr>
          <w:rFonts w:ascii="Arial" w:hAnsi="Arial" w:cs="Arial"/>
          <w:sz w:val="20"/>
          <w:szCs w:val="20"/>
        </w:rPr>
        <w:t xml:space="preserve">Provádět se bude pouze na prohlídkové trase B, takže zájemci navštíví soukromá apartmá Schwarzenbergů. </w:t>
      </w:r>
    </w:p>
    <w:p w:rsidR="00854A00" w:rsidRDefault="00854A00" w:rsidP="002F2D5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D25A9">
        <w:rPr>
          <w:rFonts w:ascii="Arial" w:hAnsi="Arial" w:cs="Arial"/>
          <w:b/>
          <w:sz w:val="20"/>
          <w:szCs w:val="20"/>
        </w:rPr>
        <w:t>Schwarzenberská hrobka</w:t>
      </w:r>
      <w:r>
        <w:rPr>
          <w:rFonts w:ascii="Arial" w:hAnsi="Arial" w:cs="Arial"/>
          <w:sz w:val="20"/>
          <w:szCs w:val="20"/>
        </w:rPr>
        <w:t xml:space="preserve"> bude</w:t>
      </w:r>
      <w:r w:rsidR="00EC79FA">
        <w:rPr>
          <w:rFonts w:ascii="Arial" w:hAnsi="Arial" w:cs="Arial"/>
          <w:sz w:val="20"/>
          <w:szCs w:val="20"/>
        </w:rPr>
        <w:t xml:space="preserve"> ve stejném časovém období</w:t>
      </w:r>
      <w:r>
        <w:rPr>
          <w:rFonts w:ascii="Arial" w:hAnsi="Arial" w:cs="Arial"/>
          <w:sz w:val="20"/>
          <w:szCs w:val="20"/>
        </w:rPr>
        <w:t xml:space="preserve"> veřejnosti přístupná </w:t>
      </w:r>
      <w:r w:rsidRPr="005D25A9">
        <w:rPr>
          <w:rFonts w:ascii="Arial" w:hAnsi="Arial" w:cs="Arial"/>
          <w:b/>
          <w:sz w:val="20"/>
          <w:szCs w:val="20"/>
        </w:rPr>
        <w:t>každý čtvrtek také od 14 hodin</w:t>
      </w:r>
      <w:r>
        <w:rPr>
          <w:rFonts w:ascii="Arial" w:hAnsi="Arial" w:cs="Arial"/>
          <w:sz w:val="20"/>
          <w:szCs w:val="20"/>
        </w:rPr>
        <w:t>.</w:t>
      </w:r>
      <w:r w:rsidR="00EC79FA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="00EC79FA" w:rsidRPr="00955A74">
          <w:rPr>
            <w:rStyle w:val="Hypertextovodkaz"/>
            <w:rFonts w:ascii="Arial" w:hAnsi="Arial" w:cs="Arial"/>
            <w:sz w:val="20"/>
            <w:szCs w:val="20"/>
          </w:rPr>
          <w:t>https://www.zamek-trebon.eu</w:t>
        </w:r>
      </w:hyperlink>
      <w:r w:rsidR="00EC79FA">
        <w:rPr>
          <w:rFonts w:ascii="Arial" w:hAnsi="Arial" w:cs="Arial"/>
          <w:sz w:val="20"/>
          <w:szCs w:val="20"/>
        </w:rPr>
        <w:t xml:space="preserve"> </w:t>
      </w:r>
    </w:p>
    <w:p w:rsidR="00854A00" w:rsidRDefault="00854A00" w:rsidP="00854A00">
      <w:pPr>
        <w:jc w:val="both"/>
        <w:rPr>
          <w:rFonts w:ascii="Arial" w:hAnsi="Arial" w:cs="Arial"/>
          <w:sz w:val="20"/>
          <w:szCs w:val="20"/>
        </w:rPr>
      </w:pPr>
    </w:p>
    <w:p w:rsidR="00854A00" w:rsidRDefault="00854A00" w:rsidP="00854A00">
      <w:pPr>
        <w:jc w:val="both"/>
        <w:rPr>
          <w:rFonts w:ascii="Arial" w:hAnsi="Arial" w:cs="Arial"/>
          <w:sz w:val="20"/>
          <w:szCs w:val="20"/>
        </w:rPr>
      </w:pPr>
    </w:p>
    <w:p w:rsidR="00854A00" w:rsidRPr="00673ECA" w:rsidRDefault="00854A00" w:rsidP="00854A00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i/>
          <w:iCs/>
          <w:sz w:val="18"/>
          <w:szCs w:val="20"/>
        </w:rPr>
        <w:t xml:space="preserve">Více informací naleznete na webových stránkách </w:t>
      </w:r>
      <w:hyperlink r:id="rId13" w:history="1">
        <w:r w:rsidR="009C371E" w:rsidRPr="00955A74">
          <w:rPr>
            <w:rStyle w:val="Hypertextovodkaz"/>
            <w:rFonts w:ascii="Arial" w:eastAsia="Calibri" w:hAnsi="Arial" w:cs="Arial"/>
            <w:b/>
            <w:bCs/>
            <w:i/>
            <w:iCs/>
            <w:sz w:val="18"/>
            <w:szCs w:val="18"/>
          </w:rPr>
          <w:t>www.npu.cz</w:t>
        </w:r>
      </w:hyperlink>
      <w:r w:rsidR="00673ECA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="00673ECA">
        <w:rPr>
          <w:rFonts w:ascii="Arial" w:hAnsi="Arial" w:cs="Arial"/>
          <w:b/>
          <w:bCs/>
          <w:iCs/>
          <w:sz w:val="18"/>
          <w:szCs w:val="18"/>
        </w:rPr>
        <w:t>nebo na webech jednotlivých památek.</w:t>
      </w:r>
    </w:p>
    <w:p w:rsidR="00854A00" w:rsidRDefault="00854A00" w:rsidP="00854A00">
      <w:pPr>
        <w:pStyle w:val="Zkladntext3"/>
        <w:spacing w:line="240" w:lineRule="auto"/>
        <w:jc w:val="both"/>
      </w:pPr>
      <w:r w:rsidRPr="00371810">
        <w:rPr>
          <w:b/>
          <w:bCs/>
          <w:iCs/>
          <w:sz w:val="16"/>
          <w:szCs w:val="16"/>
        </w:rPr>
        <w:t>Národní památkový ústav, územní památková správa v Českých Budějovicích</w:t>
      </w:r>
      <w:r w:rsidRPr="00371810">
        <w:rPr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ÚP</w:t>
      </w:r>
      <w:r>
        <w:rPr>
          <w:bCs/>
          <w:iCs/>
          <w:sz w:val="16"/>
          <w:szCs w:val="16"/>
        </w:rPr>
        <w:t>S</w:t>
      </w:r>
      <w:r w:rsidRPr="00371810">
        <w:rPr>
          <w:bCs/>
          <w:iCs/>
          <w:sz w:val="16"/>
          <w:szCs w:val="16"/>
        </w:rPr>
        <w:t xml:space="preserve">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>Třeboň s hrobkou Domanín,</w:t>
      </w:r>
      <w:r>
        <w:rPr>
          <w:bCs/>
          <w:iCs/>
          <w:sz w:val="16"/>
          <w:szCs w:val="16"/>
        </w:rPr>
        <w:t xml:space="preserve"> </w:t>
      </w:r>
      <w:r w:rsidRPr="00371810">
        <w:rPr>
          <w:bCs/>
          <w:iCs/>
          <w:sz w:val="16"/>
          <w:szCs w:val="16"/>
        </w:rPr>
        <w:t xml:space="preserve">Vimperk, Zvíkov, Červené Poříčí, </w:t>
      </w:r>
      <w:proofErr w:type="spellStart"/>
      <w:r w:rsidRPr="00371810">
        <w:rPr>
          <w:bCs/>
          <w:iCs/>
          <w:sz w:val="16"/>
          <w:szCs w:val="16"/>
        </w:rPr>
        <w:t>Gutštejn</w:t>
      </w:r>
      <w:proofErr w:type="spellEnd"/>
      <w:r w:rsidRPr="00371810">
        <w:rPr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14" w:history="1">
        <w:r w:rsidRPr="00371810">
          <w:rPr>
            <w:rStyle w:val="Hypertextovodkaz"/>
            <w:bCs/>
            <w:iCs/>
            <w:sz w:val="16"/>
            <w:szCs w:val="16"/>
          </w:rPr>
          <w:t>www.npu.cz</w:t>
        </w:r>
      </w:hyperlink>
      <w:r w:rsidRPr="00371810">
        <w:rPr>
          <w:bCs/>
          <w:iCs/>
          <w:sz w:val="16"/>
          <w:szCs w:val="16"/>
        </w:rPr>
        <w:t xml:space="preserve">. </w:t>
      </w:r>
    </w:p>
    <w:p w:rsidR="00854A00" w:rsidRDefault="00854A00" w:rsidP="00854A00">
      <w:pPr>
        <w:jc w:val="both"/>
      </w:pPr>
    </w:p>
    <w:p w:rsidR="00673ECA" w:rsidRDefault="00673ECA" w:rsidP="00854A00">
      <w:pPr>
        <w:jc w:val="both"/>
      </w:pPr>
    </w:p>
    <w:p w:rsidR="00673ECA" w:rsidRDefault="00673ECA" w:rsidP="00673ECA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673ECA" w:rsidRDefault="00673ECA" w:rsidP="00673ECA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rStyle w:val="Hypertextovodkaz"/>
          <w:bCs/>
        </w:rPr>
      </w:pPr>
      <w:r w:rsidRPr="00DD5F98">
        <w:rPr>
          <w:b/>
        </w:rPr>
        <w:t>Mgr. Petr Pavelec, Ph.D.</w:t>
      </w:r>
      <w:r>
        <w:t xml:space="preserve">, </w:t>
      </w:r>
      <w:r>
        <w:rPr>
          <w:bCs/>
        </w:rPr>
        <w:t xml:space="preserve">ředitel, NPÚ ÚPS České Budějovice, 607 661 967, </w:t>
      </w:r>
      <w:hyperlink r:id="rId15" w:history="1">
        <w:r w:rsidRPr="005E7BB6">
          <w:rPr>
            <w:rStyle w:val="Hypertextovodkaz"/>
            <w:bCs/>
          </w:rPr>
          <w:t>pavelec.petr@npu.cz</w:t>
        </w:r>
      </w:hyperlink>
    </w:p>
    <w:p w:rsidR="00673ECA" w:rsidRDefault="00673ECA" w:rsidP="00673ECA">
      <w:pPr>
        <w:pStyle w:val="Zkladntextodsazen"/>
        <w:autoSpaceDE/>
        <w:autoSpaceDN/>
        <w:adjustRightInd/>
        <w:spacing w:line="240" w:lineRule="auto"/>
        <w:ind w:firstLine="0"/>
        <w:jc w:val="both"/>
        <w:rPr>
          <w:szCs w:val="18"/>
        </w:rPr>
      </w:pPr>
      <w:r>
        <w:rPr>
          <w:b/>
          <w:bCs/>
        </w:rPr>
        <w:t>Mgr. Jitka Skořepová</w:t>
      </w:r>
      <w:r>
        <w:t xml:space="preserve">, PR, vztahy k veřejnosti, NPÚ ÚPS České Budějovice, 386 356 921, 602 626 736, </w:t>
      </w:r>
      <w:hyperlink r:id="rId16" w:history="1">
        <w:r w:rsidRPr="00616ECF">
          <w:rPr>
            <w:rStyle w:val="Hypertextovodkaz"/>
            <w:rFonts w:eastAsia="Calibri"/>
          </w:rPr>
          <w:t>skorepova.jitka@npu.cz</w:t>
        </w:r>
      </w:hyperlink>
    </w:p>
    <w:p w:rsidR="00673ECA" w:rsidRDefault="00673ECA" w:rsidP="00854A00">
      <w:pPr>
        <w:jc w:val="both"/>
        <w:sectPr w:rsidR="00673ECA" w:rsidSect="0089614E">
          <w:headerReference w:type="default" r:id="rId17"/>
          <w:headerReference w:type="first" r:id="rId18"/>
          <w:pgSz w:w="11906" w:h="16838"/>
          <w:pgMar w:top="1418" w:right="1418" w:bottom="709" w:left="1418" w:header="709" w:footer="709" w:gutter="0"/>
          <w:cols w:space="708"/>
          <w:titlePg/>
          <w:docGrid w:linePitch="360"/>
        </w:sectPr>
      </w:pPr>
    </w:p>
    <w:p w:rsidR="00854A00" w:rsidRDefault="00854A00" w:rsidP="00854A00"/>
    <w:p w:rsidR="00854A00" w:rsidRDefault="00854A00" w:rsidP="00854A00"/>
    <w:p w:rsidR="00854A00" w:rsidRDefault="00854A00" w:rsidP="00854A00"/>
    <w:p w:rsidR="00854A00" w:rsidRDefault="00854A00" w:rsidP="00854A00">
      <w:pPr>
        <w:rPr>
          <w:rFonts w:ascii="Arial" w:hAnsi="Arial" w:cs="Arial"/>
          <w:b/>
          <w:sz w:val="20"/>
        </w:rPr>
      </w:pPr>
      <w:r w:rsidRPr="00DB0705">
        <w:rPr>
          <w:rFonts w:ascii="Arial" w:hAnsi="Arial" w:cs="Arial"/>
          <w:b/>
          <w:sz w:val="20"/>
        </w:rPr>
        <w:t>Příloha č. 1</w:t>
      </w:r>
    </w:p>
    <w:p w:rsidR="00854A00" w:rsidRDefault="00854A00" w:rsidP="00854A00">
      <w:pPr>
        <w:rPr>
          <w:rFonts w:ascii="Arial" w:hAnsi="Arial" w:cs="Arial"/>
          <w:b/>
          <w:sz w:val="20"/>
        </w:rPr>
      </w:pPr>
    </w:p>
    <w:p w:rsidR="00854A00" w:rsidRDefault="00854A00" w:rsidP="00854A00">
      <w:pPr>
        <w:jc w:val="center"/>
        <w:rPr>
          <w:rFonts w:ascii="Arial" w:hAnsi="Arial" w:cs="Arial"/>
          <w:sz w:val="20"/>
        </w:rPr>
      </w:pPr>
      <w:r w:rsidRPr="00DB0705">
        <w:rPr>
          <w:rFonts w:ascii="Arial" w:hAnsi="Arial" w:cs="Arial"/>
          <w:b/>
        </w:rPr>
        <w:t xml:space="preserve">Návštěvnost </w:t>
      </w:r>
      <w:r>
        <w:rPr>
          <w:rFonts w:ascii="Arial" w:hAnsi="Arial" w:cs="Arial"/>
          <w:b/>
        </w:rPr>
        <w:t>jihočeských</w:t>
      </w:r>
      <w:r w:rsidRPr="00DB0705">
        <w:rPr>
          <w:rFonts w:ascii="Arial" w:hAnsi="Arial" w:cs="Arial"/>
          <w:b/>
        </w:rPr>
        <w:t xml:space="preserve"> památ</w:t>
      </w:r>
      <w:r>
        <w:rPr>
          <w:rFonts w:ascii="Arial" w:hAnsi="Arial" w:cs="Arial"/>
          <w:b/>
        </w:rPr>
        <w:t>e</w:t>
      </w:r>
      <w:r w:rsidRPr="00DB070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leden – polovina října</w:t>
      </w:r>
      <w:r w:rsidR="00F25348">
        <w:rPr>
          <w:rFonts w:ascii="Arial" w:hAnsi="Arial" w:cs="Arial"/>
          <w:b/>
        </w:rPr>
        <w:t>, resp. konec září – srovnání 2013 –</w:t>
      </w:r>
      <w:r>
        <w:rPr>
          <w:rFonts w:ascii="Arial" w:hAnsi="Arial" w:cs="Arial"/>
          <w:b/>
        </w:rPr>
        <w:t xml:space="preserve"> </w:t>
      </w:r>
      <w:r w:rsidRPr="00DB0705">
        <w:rPr>
          <w:rFonts w:ascii="Arial" w:hAnsi="Arial" w:cs="Arial"/>
          <w:b/>
        </w:rPr>
        <w:t>201</w:t>
      </w:r>
      <w:r w:rsidR="00F25348">
        <w:rPr>
          <w:rFonts w:ascii="Arial" w:hAnsi="Arial" w:cs="Arial"/>
          <w:b/>
        </w:rPr>
        <w:t>6</w:t>
      </w:r>
    </w:p>
    <w:p w:rsidR="00854A00" w:rsidRDefault="00854A00" w:rsidP="00854A00">
      <w:pPr>
        <w:rPr>
          <w:rFonts w:ascii="Arial" w:hAnsi="Arial" w:cs="Arial"/>
          <w:sz w:val="20"/>
        </w:rPr>
      </w:pPr>
    </w:p>
    <w:tbl>
      <w:tblPr>
        <w:tblW w:w="11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380"/>
        <w:gridCol w:w="2380"/>
        <w:gridCol w:w="2380"/>
        <w:gridCol w:w="2380"/>
        <w:gridCol w:w="1660"/>
      </w:tblGrid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objekt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I.-23.10.2016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I.-15.10.2015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I.-IX.2014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I.-X. 2013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Český Krumlov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397 055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365 600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318 914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310 702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Červená Lhota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79 527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70 348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68 019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63 751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Dačice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13 435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14 537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11 659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11 091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Domanín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32 358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30 700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30 432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28 319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Hluboká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275 916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245 304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233 965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246 501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Jindřichův Hradec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58 885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55 996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55 105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48 501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Kratochvíle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37 692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33 927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35 007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28 409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Landštejn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48 803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35 669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34 635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33 816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Nové Hrady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21 993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20 351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18 764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18 564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Rožmberk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60 270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58 227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59 596  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54 522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Třeboň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43 933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41 910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38 730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34 929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Zlatá Koruna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26 461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20 724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23 811  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31 559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Zvíkov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E3D92">
            <w:pPr>
              <w:jc w:val="right"/>
              <w:rPr>
                <w:rFonts w:ascii="Arial CE" w:hAnsi="Arial CE" w:cs="Arial CE"/>
                <w:color w:val="FF0000"/>
              </w:rPr>
            </w:pPr>
            <w:r w:rsidRPr="00832925">
              <w:rPr>
                <w:rFonts w:ascii="Arial CE" w:hAnsi="Arial CE" w:cs="Arial CE"/>
              </w:rPr>
              <w:t>3</w:t>
            </w:r>
            <w:r w:rsidR="00FE3D92" w:rsidRPr="00832925">
              <w:rPr>
                <w:rFonts w:ascii="Arial CE" w:hAnsi="Arial CE" w:cs="Arial CE"/>
              </w:rPr>
              <w:t>7</w:t>
            </w:r>
            <w:r w:rsidRPr="00832925">
              <w:rPr>
                <w:rFonts w:ascii="Arial CE" w:hAnsi="Arial CE" w:cs="Arial CE"/>
              </w:rPr>
              <w:t xml:space="preserve"> </w:t>
            </w:r>
            <w:r w:rsidR="00FE3D92" w:rsidRPr="00832925">
              <w:rPr>
                <w:rFonts w:ascii="Arial CE" w:hAnsi="Arial CE" w:cs="Arial CE"/>
              </w:rPr>
              <w:t>12</w:t>
            </w:r>
            <w:r w:rsidRPr="00832925">
              <w:rPr>
                <w:rFonts w:ascii="Arial CE" w:hAnsi="Arial CE" w:cs="Arial CE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31 067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 xml:space="preserve">22 928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29 135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Vimperk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10 409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10 096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F2C5C" w:rsidRDefault="00FF2C5C" w:rsidP="00FF2C5C">
            <w:pPr>
              <w:jc w:val="right"/>
              <w:rPr>
                <w:rFonts w:ascii="Arial CE" w:hAnsi="Arial CE" w:cs="Arial CE"/>
              </w:rPr>
            </w:pPr>
            <w:r w:rsidRPr="00FF2C5C">
              <w:rPr>
                <w:rFonts w:ascii="Arial CE" w:hAnsi="Arial CE" w:cs="Arial CE"/>
              </w:rPr>
              <w:t>0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F2C5C" w:rsidRDefault="00FF2C5C" w:rsidP="00FF2C5C">
            <w:pPr>
              <w:jc w:val="right"/>
              <w:rPr>
                <w:rFonts w:ascii="Arial CE" w:hAnsi="Arial CE" w:cs="Arial CE"/>
                <w:color w:val="000000"/>
              </w:rPr>
            </w:pPr>
            <w:r w:rsidRPr="00FF2C5C">
              <w:rPr>
                <w:rFonts w:ascii="Arial CE" w:hAnsi="Arial CE" w:cs="Arial CE"/>
                <w:color w:val="000000"/>
              </w:rPr>
              <w:t>0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2F2D59" w:rsidRDefault="00F25348" w:rsidP="00FE3D92">
            <w:pPr>
              <w:jc w:val="right"/>
              <w:rPr>
                <w:rFonts w:ascii="Arial CE" w:hAnsi="Arial CE" w:cs="Arial CE"/>
                <w:b/>
              </w:rPr>
            </w:pPr>
            <w:r w:rsidRPr="002F2D59">
              <w:rPr>
                <w:rFonts w:ascii="Arial CE" w:hAnsi="Arial CE" w:cs="Arial CE"/>
                <w:b/>
              </w:rPr>
              <w:t>1 1</w:t>
            </w:r>
            <w:r w:rsidR="00FE3D92" w:rsidRPr="002F2D59">
              <w:rPr>
                <w:rFonts w:ascii="Arial CE" w:hAnsi="Arial CE" w:cs="Arial CE"/>
                <w:b/>
              </w:rPr>
              <w:t>43</w:t>
            </w:r>
            <w:r w:rsidRPr="002F2D59">
              <w:rPr>
                <w:rFonts w:ascii="Arial CE" w:hAnsi="Arial CE" w:cs="Arial CE"/>
                <w:b/>
              </w:rPr>
              <w:t xml:space="preserve"> </w:t>
            </w:r>
            <w:r w:rsidR="00FE3D92" w:rsidRPr="002F2D59">
              <w:rPr>
                <w:rFonts w:ascii="Arial CE" w:hAnsi="Arial CE" w:cs="Arial CE"/>
                <w:b/>
              </w:rPr>
              <w:t>85</w:t>
            </w:r>
            <w:r w:rsidRPr="002F2D59">
              <w:rPr>
                <w:rFonts w:ascii="Arial CE" w:hAnsi="Arial CE" w:cs="Arial CE"/>
                <w:b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2F2D59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2F2D59">
              <w:rPr>
                <w:rFonts w:ascii="Arial CE" w:hAnsi="Arial CE" w:cs="Arial CE"/>
                <w:b/>
              </w:rPr>
              <w:t>1 034 456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2F2D59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2F2D59">
              <w:rPr>
                <w:rFonts w:ascii="Arial CE" w:hAnsi="Arial CE" w:cs="Arial CE"/>
                <w:b/>
              </w:rPr>
              <w:t xml:space="preserve">951 565  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2F2D59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2F2D59">
              <w:rPr>
                <w:rFonts w:ascii="Arial CE" w:hAnsi="Arial CE" w:cs="Arial CE"/>
                <w:b/>
              </w:rPr>
              <w:t>939 799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23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Calibri" w:hAnsi="Calibri"/>
                <w:color w:val="000000"/>
              </w:rPr>
            </w:pPr>
            <w:r w:rsidRPr="00F25348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</w:tr>
    </w:tbl>
    <w:p w:rsidR="00854A00" w:rsidRDefault="00854A00" w:rsidP="00F25348">
      <w:pPr>
        <w:spacing w:after="200" w:line="276" w:lineRule="auto"/>
        <w:jc w:val="center"/>
        <w:rPr>
          <w:rFonts w:ascii="Arial" w:hAnsi="Arial" w:cs="Arial"/>
          <w:sz w:val="20"/>
        </w:rPr>
      </w:pPr>
    </w:p>
    <w:p w:rsidR="0089614E" w:rsidRDefault="00F25348" w:rsidP="007D7A3B">
      <w:pPr>
        <w:spacing w:after="200" w:line="276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br w:type="page"/>
      </w:r>
      <w:r w:rsidR="0089614E">
        <w:rPr>
          <w:rFonts w:ascii="Arial" w:hAnsi="Arial" w:cs="Arial"/>
          <w:b/>
          <w:sz w:val="20"/>
        </w:rPr>
        <w:t>Příloha č. 2</w:t>
      </w:r>
    </w:p>
    <w:p w:rsidR="00854A00" w:rsidRDefault="0089614E" w:rsidP="00854A00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  <w:r w:rsidR="00854A00">
        <w:rPr>
          <w:rFonts w:ascii="Arial" w:hAnsi="Arial" w:cs="Arial"/>
          <w:b/>
        </w:rPr>
        <w:t>Celková návštěvnost v rámci NPÚ ÚPS ČB za</w:t>
      </w:r>
      <w:r w:rsidR="00F25348">
        <w:rPr>
          <w:rFonts w:ascii="Arial" w:hAnsi="Arial" w:cs="Arial"/>
          <w:b/>
        </w:rPr>
        <w:t xml:space="preserve"> období</w:t>
      </w:r>
      <w:r w:rsidR="00854A00">
        <w:rPr>
          <w:rFonts w:ascii="Arial" w:hAnsi="Arial" w:cs="Arial"/>
          <w:b/>
        </w:rPr>
        <w:t xml:space="preserve"> leden – </w:t>
      </w:r>
      <w:r w:rsidR="00F25348">
        <w:rPr>
          <w:rFonts w:ascii="Arial" w:hAnsi="Arial" w:cs="Arial"/>
          <w:b/>
        </w:rPr>
        <w:t xml:space="preserve">polovina října, resp. konec září – srovnání 2013 – </w:t>
      </w:r>
      <w:r w:rsidR="00F25348" w:rsidRPr="00DB0705">
        <w:rPr>
          <w:rFonts w:ascii="Arial" w:hAnsi="Arial" w:cs="Arial"/>
          <w:b/>
        </w:rPr>
        <w:t>201</w:t>
      </w:r>
      <w:r w:rsidR="00F25348">
        <w:rPr>
          <w:rFonts w:ascii="Arial" w:hAnsi="Arial" w:cs="Arial"/>
          <w:b/>
        </w:rPr>
        <w:t>6</w:t>
      </w:r>
    </w:p>
    <w:p w:rsidR="00F25348" w:rsidRDefault="00F25348" w:rsidP="00854A00">
      <w:pPr>
        <w:spacing w:after="200" w:line="276" w:lineRule="auto"/>
        <w:jc w:val="center"/>
        <w:rPr>
          <w:rFonts w:ascii="Arial" w:hAnsi="Arial" w:cs="Arial"/>
          <w:b/>
        </w:rPr>
      </w:pPr>
    </w:p>
    <w:tbl>
      <w:tblPr>
        <w:tblW w:w="81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520"/>
        <w:gridCol w:w="1660"/>
        <w:gridCol w:w="1660"/>
        <w:gridCol w:w="1660"/>
        <w:gridCol w:w="1660"/>
      </w:tblGrid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kraj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návštěvnost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I.-23.10.2016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I.-15.10.2015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I.-IX.2014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  <w:b/>
                <w:bCs/>
                <w:i/>
                <w:iCs/>
              </w:rPr>
            </w:pPr>
            <w:r w:rsidRPr="00F25348">
              <w:rPr>
                <w:rFonts w:ascii="Arial CE" w:hAnsi="Arial CE" w:cs="Arial CE"/>
                <w:b/>
                <w:bCs/>
                <w:i/>
                <w:iCs/>
              </w:rPr>
              <w:t>I.-X. 2013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Jihočeský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1 137 168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1 034 456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951 565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939 799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1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Plzeňský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255 959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232 557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226 769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201 596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Vysočina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166 431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154 632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185 010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179 847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</w:tr>
      <w:tr w:rsidR="00F25348" w:rsidRPr="00F25348" w:rsidTr="00F25348">
        <w:trPr>
          <w:trHeight w:val="315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  <w:b/>
                <w:bCs/>
              </w:rPr>
            </w:pPr>
            <w:r w:rsidRPr="00F25348">
              <w:rPr>
                <w:rFonts w:ascii="Arial CE" w:hAnsi="Arial CE" w:cs="Arial CE"/>
                <w:b/>
                <w:bCs/>
              </w:rPr>
              <w:t>c e l k e 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F25348">
              <w:rPr>
                <w:rFonts w:ascii="Arial CE" w:hAnsi="Arial CE" w:cs="Arial CE"/>
                <w:b/>
              </w:rPr>
              <w:t>1 559 558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F25348">
              <w:rPr>
                <w:rFonts w:ascii="Arial CE" w:hAnsi="Arial CE" w:cs="Arial CE"/>
                <w:b/>
              </w:rPr>
              <w:t>1 421 645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F25348">
              <w:rPr>
                <w:rFonts w:ascii="Arial CE" w:hAnsi="Arial CE" w:cs="Arial CE"/>
                <w:b/>
              </w:rPr>
              <w:t>1 363 344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right"/>
              <w:rPr>
                <w:rFonts w:ascii="Arial CE" w:hAnsi="Arial CE" w:cs="Arial CE"/>
                <w:b/>
              </w:rPr>
            </w:pPr>
            <w:r w:rsidRPr="00F25348">
              <w:rPr>
                <w:rFonts w:ascii="Arial CE" w:hAnsi="Arial CE" w:cs="Arial CE"/>
                <w:b/>
              </w:rPr>
              <w:t>1 321 242</w:t>
            </w:r>
          </w:p>
        </w:tc>
      </w:tr>
      <w:tr w:rsidR="00F25348" w:rsidRPr="00F25348" w:rsidTr="00F25348">
        <w:trPr>
          <w:trHeight w:val="330"/>
          <w:jc w:val="center"/>
        </w:trPr>
        <w:tc>
          <w:tcPr>
            <w:tcW w:w="15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25348" w:rsidRPr="00F25348" w:rsidRDefault="00F25348" w:rsidP="00F25348">
            <w:pPr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F25348" w:rsidRPr="00F25348" w:rsidRDefault="00F25348" w:rsidP="00F25348">
            <w:pPr>
              <w:jc w:val="center"/>
              <w:rPr>
                <w:rFonts w:ascii="Arial CE" w:hAnsi="Arial CE" w:cs="Arial CE"/>
              </w:rPr>
            </w:pPr>
            <w:r w:rsidRPr="00F25348">
              <w:rPr>
                <w:rFonts w:ascii="Arial CE" w:hAnsi="Arial CE" w:cs="Arial CE"/>
              </w:rPr>
              <w:t> </w:t>
            </w:r>
          </w:p>
        </w:tc>
      </w:tr>
    </w:tbl>
    <w:p w:rsidR="00854A00" w:rsidRDefault="00854A00" w:rsidP="00854A0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89614E" w:rsidRDefault="0089614E">
      <w:pPr>
        <w:spacing w:after="200" w:line="276" w:lineRule="auto"/>
        <w:rPr>
          <w:rFonts w:ascii="Arial" w:hAnsi="Arial" w:cs="Arial"/>
          <w:b/>
          <w:sz w:val="20"/>
        </w:rPr>
        <w:sectPr w:rsidR="0089614E" w:rsidSect="0089614E">
          <w:headerReference w:type="first" r:id="rId19"/>
          <w:pgSz w:w="16838" w:h="11906" w:orient="landscape"/>
          <w:pgMar w:top="1418" w:right="1418" w:bottom="1418" w:left="993" w:header="709" w:footer="709" w:gutter="0"/>
          <w:cols w:space="708"/>
          <w:titlePg/>
          <w:docGrid w:linePitch="360"/>
        </w:sectPr>
      </w:pPr>
      <w:r>
        <w:rPr>
          <w:rFonts w:ascii="Arial" w:hAnsi="Arial" w:cs="Arial"/>
          <w:b/>
          <w:sz w:val="20"/>
        </w:rPr>
        <w:br w:type="page"/>
      </w:r>
    </w:p>
    <w:p w:rsidR="0089614E" w:rsidRDefault="0089614E">
      <w:pPr>
        <w:spacing w:after="200" w:line="276" w:lineRule="auto"/>
        <w:rPr>
          <w:rFonts w:ascii="Arial" w:hAnsi="Arial" w:cs="Arial"/>
          <w:b/>
          <w:sz w:val="20"/>
        </w:rPr>
      </w:pPr>
    </w:p>
    <w:p w:rsidR="0089614E" w:rsidRDefault="0089614E" w:rsidP="0089614E">
      <w:pPr>
        <w:tabs>
          <w:tab w:val="left" w:pos="4111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t xml:space="preserve">Příloha č. 3 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</w:rPr>
        <w:t>Stavební obnova a údržba</w:t>
      </w:r>
      <w:r w:rsidRPr="00DB07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jihočeských </w:t>
      </w:r>
      <w:r w:rsidRPr="00DB0705">
        <w:rPr>
          <w:rFonts w:ascii="Arial" w:hAnsi="Arial" w:cs="Arial"/>
          <w:b/>
        </w:rPr>
        <w:t>památ</w:t>
      </w:r>
      <w:r>
        <w:rPr>
          <w:rFonts w:ascii="Arial" w:hAnsi="Arial" w:cs="Arial"/>
          <w:b/>
        </w:rPr>
        <w:t>e</w:t>
      </w:r>
      <w:r w:rsidRPr="00DB0705">
        <w:rPr>
          <w:rFonts w:ascii="Arial" w:hAnsi="Arial" w:cs="Arial"/>
          <w:b/>
        </w:rPr>
        <w:t>k</w:t>
      </w:r>
      <w:r>
        <w:rPr>
          <w:rFonts w:ascii="Arial" w:hAnsi="Arial" w:cs="Arial"/>
          <w:b/>
        </w:rPr>
        <w:t xml:space="preserve"> 2016</w:t>
      </w:r>
    </w:p>
    <w:p w:rsidR="00854A00" w:rsidRDefault="00854A00" w:rsidP="00854A00">
      <w:pPr>
        <w:tabs>
          <w:tab w:val="left" w:pos="1410"/>
        </w:tabs>
        <w:rPr>
          <w:rFonts w:ascii="Arial" w:hAnsi="Arial" w:cs="Arial"/>
          <w:b/>
          <w:sz w:val="20"/>
        </w:rPr>
      </w:pPr>
    </w:p>
    <w:p w:rsidR="004D0482" w:rsidRDefault="004D0482" w:rsidP="00854A00">
      <w:pPr>
        <w:tabs>
          <w:tab w:val="left" w:pos="1410"/>
        </w:tabs>
        <w:rPr>
          <w:rFonts w:ascii="Arial" w:hAnsi="Arial" w:cs="Arial"/>
          <w:b/>
          <w:sz w:val="20"/>
        </w:rPr>
      </w:pPr>
    </w:p>
    <w:tbl>
      <w:tblPr>
        <w:tblW w:w="1487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53"/>
        <w:gridCol w:w="10452"/>
        <w:gridCol w:w="1973"/>
      </w:tblGrid>
      <w:tr w:rsidR="004D0482" w:rsidRPr="004D0482" w:rsidTr="004D0482">
        <w:trPr>
          <w:trHeight w:val="700"/>
        </w:trPr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Objekt</w:t>
            </w:r>
          </w:p>
        </w:tc>
        <w:tc>
          <w:tcPr>
            <w:tcW w:w="10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Název akce </w:t>
            </w:r>
          </w:p>
        </w:tc>
        <w:tc>
          <w:tcPr>
            <w:tcW w:w="1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>Finanční náklady v roce 2016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 (v Kč)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Červená Lhota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Stavební úpravy Hospodářského křídla čp.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7 - I. etapa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300 000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Rekonstrukce Horské zahrady (vyhlídková stezka) - II. etapa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5 500 000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Zámecká jízdárna - výměna vzduchotechnické jednotky a klimatizační jednotky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2 600 000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Záchrana a památková obnova </w:t>
            </w:r>
            <w:proofErr w:type="spellStart"/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Bellarie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- I.etapa  - projektová dokumentace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Rekonstrukce objektu Latrán čp.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232 - Centrum studijních pobytů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22 215 908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Rekonstrukce objektu Latrán čp.</w:t>
            </w:r>
            <w:r>
              <w:rPr>
                <w:rFonts w:ascii="Calibri" w:hAnsi="Calibri"/>
                <w:color w:val="000000"/>
                <w:sz w:val="22"/>
                <w:szCs w:val="20"/>
              </w:rPr>
              <w:t xml:space="preserve"> </w:t>
            </w: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232 - Centrum studijních pobytů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5 553 975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Rekonstrukce Mincovny (zámecká galerie) - II. etapa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Č. Krumlov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Zefektivnění a úspornější vytápění skleníků a oranžérie v zásobní zahradě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1 860 832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Hluboká 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Rehabilitace interiérů prohlídkové trasy v 2. patře - tzv. "Hostinské pokoje"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15 149 146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Jindřichův Hradec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Oprava a restaurování zámeckých arkád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Jindřichův Hradec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reinstalace gotického paláce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593 000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Kratochvíle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Obnova a restaurování západní ohradní zdi a domku Markéta - dokončení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1 480 000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Nové Hrady 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Oprava hradebního příkopu - vnitřní eskarpa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NPÚ - Špitál 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Rekonstrukce Špitálu Nejsvětější Trojice - II. etapa, včetně restaurování a vybavení kaple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1 500 000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Rožmberk 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 xml:space="preserve">Rekonstrukce věže Jakobínka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1 250 000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 xml:space="preserve">Rožmberk 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Oprava dřevěné konstrukce mostu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1 332 094</w:t>
            </w:r>
          </w:p>
        </w:tc>
      </w:tr>
      <w:tr w:rsidR="004D0482" w:rsidRPr="004D0482" w:rsidTr="004D0482">
        <w:trPr>
          <w:trHeight w:val="400"/>
        </w:trPr>
        <w:tc>
          <w:tcPr>
            <w:tcW w:w="2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color w:val="000000"/>
                <w:sz w:val="22"/>
                <w:szCs w:val="20"/>
              </w:rPr>
              <w:t>Zlatá Koruna</w:t>
            </w:r>
          </w:p>
        </w:tc>
        <w:tc>
          <w:tcPr>
            <w:tcW w:w="10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Výměna požárních čerpadel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color w:val="000000"/>
                <w:szCs w:val="20"/>
              </w:rPr>
            </w:pPr>
            <w:r w:rsidRPr="004D0482">
              <w:rPr>
                <w:rFonts w:ascii="Calibri" w:hAnsi="Calibri"/>
                <w:color w:val="000000"/>
                <w:sz w:val="22"/>
                <w:szCs w:val="20"/>
              </w:rPr>
              <w:t>400 000</w:t>
            </w:r>
          </w:p>
        </w:tc>
      </w:tr>
      <w:tr w:rsidR="004D0482" w:rsidRPr="004D0482" w:rsidTr="004D0482">
        <w:trPr>
          <w:trHeight w:val="400"/>
        </w:trPr>
        <w:tc>
          <w:tcPr>
            <w:tcW w:w="12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0482" w:rsidRPr="004D0482" w:rsidRDefault="004D0482" w:rsidP="004D0482">
            <w:pPr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bCs/>
                <w:color w:val="000000"/>
                <w:sz w:val="22"/>
                <w:szCs w:val="20"/>
              </w:rPr>
              <w:t xml:space="preserve">CELKEM v letech 2016-2019                                                                                     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4D0482" w:rsidRPr="004D0482" w:rsidRDefault="004D0482" w:rsidP="004D0482">
            <w:pPr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4D0482">
              <w:rPr>
                <w:rFonts w:ascii="Calibri" w:hAnsi="Calibri"/>
                <w:b/>
                <w:bCs/>
                <w:color w:val="000000"/>
                <w:sz w:val="28"/>
                <w:szCs w:val="20"/>
              </w:rPr>
              <w:t>59 734 955</w:t>
            </w:r>
          </w:p>
        </w:tc>
      </w:tr>
    </w:tbl>
    <w:p w:rsidR="004D0482" w:rsidRDefault="004D0482" w:rsidP="00854A00">
      <w:pPr>
        <w:tabs>
          <w:tab w:val="left" w:pos="1410"/>
        </w:tabs>
        <w:rPr>
          <w:rFonts w:ascii="Arial" w:hAnsi="Arial" w:cs="Arial"/>
          <w:b/>
          <w:sz w:val="20"/>
        </w:rPr>
        <w:sectPr w:rsidR="004D0482" w:rsidSect="0089614E">
          <w:headerReference w:type="first" r:id="rId20"/>
          <w:pgSz w:w="16838" w:h="11906" w:orient="landscape"/>
          <w:pgMar w:top="142" w:right="1418" w:bottom="284" w:left="993" w:header="142" w:footer="709" w:gutter="0"/>
          <w:cols w:space="708"/>
          <w:titlePg/>
          <w:docGrid w:linePitch="360"/>
        </w:sectPr>
      </w:pPr>
    </w:p>
    <w:p w:rsidR="00854A00" w:rsidRPr="00DC510B" w:rsidRDefault="00854A00" w:rsidP="00854A00">
      <w:pPr>
        <w:rPr>
          <w:rFonts w:ascii="Arial" w:hAnsi="Arial" w:cs="Arial"/>
          <w:b/>
          <w:sz w:val="20"/>
        </w:rPr>
      </w:pPr>
      <w:r w:rsidRPr="00DC510B">
        <w:rPr>
          <w:rFonts w:ascii="Arial" w:hAnsi="Arial" w:cs="Arial"/>
          <w:b/>
          <w:sz w:val="20"/>
        </w:rPr>
        <w:t xml:space="preserve">Příloha č. </w:t>
      </w:r>
      <w:r w:rsidR="007D7A3B">
        <w:rPr>
          <w:rFonts w:ascii="Arial" w:hAnsi="Arial" w:cs="Arial"/>
          <w:b/>
          <w:sz w:val="20"/>
        </w:rPr>
        <w:t>4</w:t>
      </w:r>
    </w:p>
    <w:p w:rsidR="00854A00" w:rsidRDefault="00854A00" w:rsidP="00854A00">
      <w:pPr>
        <w:rPr>
          <w:rFonts w:ascii="Arial" w:hAnsi="Arial" w:cs="Arial"/>
          <w:sz w:val="20"/>
        </w:rPr>
      </w:pPr>
    </w:p>
    <w:p w:rsidR="00854A00" w:rsidRDefault="00854A00" w:rsidP="00854A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Přehled akcí na jihočeských památkách do konce roku 201</w:t>
      </w:r>
      <w:r w:rsidR="007D7A3B">
        <w:rPr>
          <w:rFonts w:ascii="Arial" w:hAnsi="Arial" w:cs="Arial"/>
          <w:b/>
        </w:rPr>
        <w:t>6</w:t>
      </w:r>
    </w:p>
    <w:p w:rsidR="00854A00" w:rsidRDefault="00854A00" w:rsidP="00854A00">
      <w:pPr>
        <w:jc w:val="center"/>
        <w:rPr>
          <w:rFonts w:ascii="Arial" w:hAnsi="Arial" w:cs="Arial"/>
        </w:rPr>
      </w:pPr>
    </w:p>
    <w:p w:rsidR="00854A00" w:rsidRDefault="00854A00" w:rsidP="00854A00">
      <w:pPr>
        <w:jc w:val="center"/>
        <w:rPr>
          <w:rFonts w:ascii="Arial" w:hAnsi="Arial" w:cs="Arial"/>
        </w:rPr>
      </w:pPr>
    </w:p>
    <w:p w:rsidR="00CA48C0" w:rsidRDefault="00CA48C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26. – 27. 10. 2016</w:t>
      </w:r>
      <w:r>
        <w:rPr>
          <w:rFonts w:ascii="Arial" w:hAnsi="Arial" w:cs="Arial"/>
          <w:b/>
          <w:sz w:val="20"/>
        </w:rPr>
        <w:tab/>
      </w:r>
      <w:r w:rsidR="00AA4CC7" w:rsidRPr="00AA4CC7">
        <w:rPr>
          <w:rFonts w:ascii="Arial" w:hAnsi="Arial" w:cs="Arial"/>
          <w:b/>
          <w:color w:val="FF0000"/>
          <w:sz w:val="20"/>
        </w:rPr>
        <w:t>PODZIMNÍ PRÁZDNINY</w:t>
      </w:r>
      <w:r w:rsidR="00AA4CC7">
        <w:rPr>
          <w:rFonts w:ascii="Arial" w:hAnsi="Arial" w:cs="Arial"/>
          <w:b/>
          <w:sz w:val="20"/>
        </w:rPr>
        <w:tab/>
        <w:t xml:space="preserve">Český Krumlov, Dačice, Hluboká, Jindřichův Hradec, Landštejn, Nové Hrady, Rožmberk, Třeboň, Schwarzenberská hrobka, Zlatá Koruna – </w:t>
      </w:r>
      <w:r w:rsidR="00AA4CC7" w:rsidRPr="00AA4CC7">
        <w:rPr>
          <w:rFonts w:ascii="Arial" w:hAnsi="Arial" w:cs="Arial"/>
          <w:b/>
          <w:color w:val="FF0000"/>
          <w:sz w:val="20"/>
        </w:rPr>
        <w:t>OTEVŘENO</w:t>
      </w:r>
    </w:p>
    <w:p w:rsidR="00CA48C0" w:rsidRDefault="00CA48C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AA4CC7" w:rsidRDefault="00AA4CC7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28. 10. 2016</w:t>
      </w:r>
      <w:r>
        <w:rPr>
          <w:rFonts w:ascii="Arial" w:hAnsi="Arial" w:cs="Arial"/>
          <w:b/>
          <w:sz w:val="20"/>
        </w:rPr>
        <w:tab/>
      </w:r>
      <w:r w:rsidRPr="00AA4CC7">
        <w:rPr>
          <w:rFonts w:ascii="Arial" w:hAnsi="Arial" w:cs="Arial"/>
          <w:b/>
          <w:color w:val="0070C0"/>
          <w:sz w:val="20"/>
        </w:rPr>
        <w:t>všechny památky</w:t>
      </w:r>
      <w:r>
        <w:rPr>
          <w:rFonts w:ascii="Arial" w:hAnsi="Arial" w:cs="Arial"/>
          <w:b/>
          <w:sz w:val="20"/>
        </w:rPr>
        <w:tab/>
      </w:r>
      <w:r w:rsidRPr="00AA4CC7">
        <w:rPr>
          <w:rFonts w:ascii="Arial" w:hAnsi="Arial" w:cs="Arial"/>
          <w:b/>
          <w:color w:val="0070C0"/>
          <w:sz w:val="20"/>
        </w:rPr>
        <w:t xml:space="preserve">Děti a mládež do 18 let </w:t>
      </w:r>
      <w:r>
        <w:rPr>
          <w:rFonts w:ascii="Arial" w:hAnsi="Arial" w:cs="Arial"/>
          <w:b/>
          <w:sz w:val="20"/>
        </w:rPr>
        <w:t xml:space="preserve">má </w:t>
      </w:r>
      <w:r w:rsidRPr="00AA4CC7">
        <w:rPr>
          <w:rFonts w:ascii="Arial" w:hAnsi="Arial" w:cs="Arial"/>
          <w:b/>
          <w:color w:val="0070C0"/>
          <w:sz w:val="20"/>
        </w:rPr>
        <w:t xml:space="preserve">VSTUP ZDARMA </w:t>
      </w:r>
    </w:p>
    <w:p w:rsidR="00AA4CC7" w:rsidRDefault="00AA4CC7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AA4CC7" w:rsidRDefault="00AA4CC7" w:rsidP="00AA4CC7">
      <w:pPr>
        <w:pStyle w:val="Nadpis3"/>
      </w:pPr>
    </w:p>
    <w:p w:rsidR="00AA4CC7" w:rsidRDefault="00AA4CC7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854A00" w:rsidRPr="00960685" w:rsidRDefault="00423368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28</w:t>
      </w:r>
      <w:r w:rsidR="00854A0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– 29.</w:t>
      </w:r>
      <w:r w:rsidR="00854A00">
        <w:rPr>
          <w:rFonts w:ascii="Arial" w:hAnsi="Arial" w:cs="Arial"/>
          <w:b/>
          <w:sz w:val="20"/>
        </w:rPr>
        <w:t xml:space="preserve"> 10. 201</w:t>
      </w:r>
      <w:r>
        <w:rPr>
          <w:rFonts w:ascii="Arial" w:hAnsi="Arial" w:cs="Arial"/>
          <w:b/>
          <w:sz w:val="20"/>
        </w:rPr>
        <w:t>6</w:t>
      </w:r>
      <w:r w:rsidR="00854A00">
        <w:rPr>
          <w:rFonts w:ascii="Arial" w:hAnsi="Arial" w:cs="Arial"/>
          <w:b/>
          <w:sz w:val="20"/>
        </w:rPr>
        <w:tab/>
        <w:t>Nové Hrady</w:t>
      </w:r>
      <w:r w:rsidR="00854A0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Novohradské podzimní slavnosti Viléma z Landštejna</w:t>
      </w:r>
      <w:r w:rsidR="00854A00">
        <w:rPr>
          <w:rFonts w:ascii="Arial" w:hAnsi="Arial" w:cs="Arial"/>
          <w:sz w:val="20"/>
        </w:rPr>
        <w:t xml:space="preserve"> – </w:t>
      </w:r>
      <w:r>
        <w:rPr>
          <w:rFonts w:ascii="Arial" w:hAnsi="Arial" w:cs="Arial"/>
          <w:sz w:val="20"/>
        </w:rPr>
        <w:t xml:space="preserve">dětské prohlídky, oživlé dějiny hradu během nočních prohlídek, sobotní celodenní program; </w:t>
      </w:r>
      <w:hyperlink r:id="rId21" w:history="1">
        <w:r w:rsidRPr="00955A74">
          <w:rPr>
            <w:rStyle w:val="Hypertextovodkaz"/>
            <w:rFonts w:ascii="Arial" w:hAnsi="Arial" w:cs="Arial"/>
            <w:sz w:val="20"/>
          </w:rPr>
          <w:t>https://www.hrad-novehrady.eu/cs/akce/18134-novohradske-podzimni-slavnosti-vilema-z-landstejna</w:t>
        </w:r>
      </w:hyperlink>
      <w:r>
        <w:rPr>
          <w:rFonts w:ascii="Arial" w:hAnsi="Arial" w:cs="Arial"/>
          <w:sz w:val="20"/>
        </w:rPr>
        <w:t xml:space="preserve"> </w:t>
      </w:r>
    </w:p>
    <w:p w:rsidR="00854A00" w:rsidRDefault="00854A0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C9592B" w:rsidRDefault="00C9592B" w:rsidP="00C9592B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30. 10. 2016</w:t>
      </w:r>
      <w:r>
        <w:rPr>
          <w:rFonts w:ascii="Arial" w:hAnsi="Arial" w:cs="Arial"/>
          <w:b/>
          <w:sz w:val="20"/>
        </w:rPr>
        <w:tab/>
        <w:t>Landštejn</w:t>
      </w:r>
      <w:r>
        <w:rPr>
          <w:rFonts w:ascii="Arial" w:hAnsi="Arial" w:cs="Arial"/>
          <w:b/>
          <w:sz w:val="20"/>
        </w:rPr>
        <w:tab/>
        <w:t>Na hrad za bubáky</w:t>
      </w:r>
      <w:r>
        <w:rPr>
          <w:rFonts w:ascii="Arial" w:hAnsi="Arial" w:cs="Arial"/>
          <w:sz w:val="20"/>
        </w:rPr>
        <w:t xml:space="preserve"> – r</w:t>
      </w:r>
      <w:r w:rsidRPr="00A544D5">
        <w:rPr>
          <w:rFonts w:ascii="Arial" w:hAnsi="Arial" w:cs="Arial"/>
          <w:sz w:val="20"/>
        </w:rPr>
        <w:t>ej</w:t>
      </w:r>
      <w:r>
        <w:rPr>
          <w:rFonts w:ascii="Arial" w:hAnsi="Arial" w:cs="Arial"/>
          <w:sz w:val="20"/>
        </w:rPr>
        <w:t xml:space="preserve"> </w:t>
      </w:r>
      <w:r w:rsidRPr="00A544D5">
        <w:rPr>
          <w:rFonts w:ascii="Arial" w:hAnsi="Arial" w:cs="Arial"/>
          <w:sz w:val="20"/>
        </w:rPr>
        <w:t xml:space="preserve">strašidel </w:t>
      </w:r>
      <w:r>
        <w:rPr>
          <w:rFonts w:ascii="Arial" w:hAnsi="Arial" w:cs="Arial"/>
          <w:sz w:val="20"/>
        </w:rPr>
        <w:t xml:space="preserve">a jejich úkoly pro děti, děti do 15 let vstup zdarma; </w:t>
      </w:r>
      <w:hyperlink r:id="rId22" w:history="1">
        <w:r w:rsidRPr="00955A74">
          <w:rPr>
            <w:rStyle w:val="Hypertextovodkaz"/>
            <w:rFonts w:ascii="Arial" w:hAnsi="Arial" w:cs="Arial"/>
            <w:sz w:val="20"/>
          </w:rPr>
          <w:t>https://www.hrad-landstejn.eu/cs/akce/2073-na-hrad-landstejn-za-bubaky</w:t>
        </w:r>
      </w:hyperlink>
      <w:r>
        <w:rPr>
          <w:rFonts w:ascii="Arial" w:hAnsi="Arial" w:cs="Arial"/>
          <w:sz w:val="20"/>
        </w:rPr>
        <w:t xml:space="preserve"> </w:t>
      </w:r>
    </w:p>
    <w:p w:rsidR="00C9592B" w:rsidRDefault="00C9592B" w:rsidP="00C9592B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C9592B" w:rsidRDefault="00C9592B" w:rsidP="00C9592B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5. 11. 2016</w:t>
      </w:r>
      <w:r>
        <w:rPr>
          <w:rFonts w:ascii="Arial" w:hAnsi="Arial" w:cs="Arial"/>
          <w:b/>
          <w:sz w:val="20"/>
        </w:rPr>
        <w:tab/>
        <w:t>Landštejn</w:t>
      </w:r>
      <w:r>
        <w:rPr>
          <w:rFonts w:ascii="Arial" w:hAnsi="Arial" w:cs="Arial"/>
          <w:b/>
          <w:sz w:val="20"/>
        </w:rPr>
        <w:tab/>
        <w:t>Úklid lesa v okolí hradu</w:t>
      </w:r>
      <w:r>
        <w:rPr>
          <w:rFonts w:ascii="Arial" w:hAnsi="Arial" w:cs="Arial"/>
          <w:sz w:val="20"/>
        </w:rPr>
        <w:t xml:space="preserve"> – kdo má ruce, nohy a dobrý úmysl, může pomoci s úklidem v okolních lesích a na turistických cestách, odměnou bude špekáček opečený na hradě; </w:t>
      </w:r>
      <w:hyperlink r:id="rId23" w:history="1">
        <w:r w:rsidRPr="00955A74">
          <w:rPr>
            <w:rStyle w:val="Hypertextovodkaz"/>
            <w:rFonts w:ascii="Arial" w:hAnsi="Arial" w:cs="Arial"/>
            <w:sz w:val="20"/>
          </w:rPr>
          <w:t>https://www.hrad-landstejn.eu/cs/akce/2074-uklid-lesa-v-okoli-hradu-landstejn</w:t>
        </w:r>
      </w:hyperlink>
      <w:r>
        <w:rPr>
          <w:rFonts w:ascii="Arial" w:hAnsi="Arial" w:cs="Arial"/>
          <w:sz w:val="20"/>
        </w:rPr>
        <w:t xml:space="preserve"> </w:t>
      </w:r>
    </w:p>
    <w:p w:rsidR="00C9592B" w:rsidRDefault="00C9592B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854A00" w:rsidRDefault="00CA48C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20</w:t>
      </w:r>
      <w:r w:rsidR="00854A00" w:rsidRPr="00EB4CB7">
        <w:rPr>
          <w:rFonts w:ascii="Arial" w:hAnsi="Arial" w:cs="Arial"/>
          <w:b/>
          <w:sz w:val="20"/>
        </w:rPr>
        <w:t>. 1</w:t>
      </w:r>
      <w:r>
        <w:rPr>
          <w:rFonts w:ascii="Arial" w:hAnsi="Arial" w:cs="Arial"/>
          <w:b/>
          <w:sz w:val="20"/>
        </w:rPr>
        <w:t>1</w:t>
      </w:r>
      <w:r w:rsidR="00854A00" w:rsidRPr="00EB4CB7">
        <w:rPr>
          <w:rFonts w:ascii="Arial" w:hAnsi="Arial" w:cs="Arial"/>
          <w:b/>
          <w:sz w:val="20"/>
        </w:rPr>
        <w:t>. 201</w:t>
      </w:r>
      <w:r>
        <w:rPr>
          <w:rFonts w:ascii="Arial" w:hAnsi="Arial" w:cs="Arial"/>
          <w:b/>
          <w:sz w:val="20"/>
        </w:rPr>
        <w:t>6</w:t>
      </w:r>
      <w:r w:rsidR="00854A00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Červená Lhota</w:t>
      </w:r>
      <w:r w:rsidR="00854A00"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Mše v zámecké kapli</w:t>
      </w:r>
      <w:r w:rsidR="00854A00">
        <w:rPr>
          <w:rFonts w:ascii="Arial" w:hAnsi="Arial" w:cs="Arial"/>
          <w:sz w:val="20"/>
        </w:rPr>
        <w:t xml:space="preserve"> – u příležitosti </w:t>
      </w:r>
      <w:r>
        <w:rPr>
          <w:rFonts w:ascii="Arial" w:hAnsi="Arial" w:cs="Arial"/>
          <w:sz w:val="20"/>
        </w:rPr>
        <w:t xml:space="preserve">slavnosti Ježíše Krista Krále; </w:t>
      </w:r>
      <w:hyperlink r:id="rId24" w:history="1">
        <w:r w:rsidRPr="00955A74">
          <w:rPr>
            <w:rStyle w:val="Hypertextovodkaz"/>
            <w:rFonts w:ascii="Arial" w:hAnsi="Arial" w:cs="Arial"/>
            <w:sz w:val="20"/>
          </w:rPr>
          <w:t>https://www.zamek-cervenalhota.eu/cs/akce/17108-mse-v-zamecke-kapli-na-cervene-lhote</w:t>
        </w:r>
      </w:hyperlink>
      <w:r>
        <w:rPr>
          <w:rFonts w:ascii="Arial" w:hAnsi="Arial" w:cs="Arial"/>
          <w:sz w:val="20"/>
        </w:rPr>
        <w:t xml:space="preserve"> </w:t>
      </w:r>
    </w:p>
    <w:p w:rsidR="00854A00" w:rsidRDefault="00854A0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C9592B" w:rsidRPr="00C9592B" w:rsidRDefault="00C9592B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2"/>
        </w:rPr>
      </w:pPr>
      <w:r w:rsidRPr="00C9592B">
        <w:rPr>
          <w:rFonts w:ascii="Arial" w:hAnsi="Arial" w:cs="Arial"/>
          <w:b/>
          <w:sz w:val="22"/>
        </w:rPr>
        <w:t>ADVENT</w:t>
      </w:r>
      <w:r w:rsidR="000E2DF1">
        <w:rPr>
          <w:rFonts w:ascii="Arial" w:hAnsi="Arial" w:cs="Arial"/>
          <w:b/>
          <w:sz w:val="22"/>
        </w:rPr>
        <w:t xml:space="preserve"> A VÁNOCE</w:t>
      </w:r>
      <w:r w:rsidRPr="00C9592B">
        <w:rPr>
          <w:rFonts w:ascii="Arial" w:hAnsi="Arial" w:cs="Arial"/>
          <w:b/>
          <w:sz w:val="22"/>
        </w:rPr>
        <w:t>:</w:t>
      </w:r>
    </w:p>
    <w:p w:rsidR="00C9592B" w:rsidRDefault="00C9592B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b/>
          <w:sz w:val="20"/>
        </w:rPr>
      </w:pPr>
    </w:p>
    <w:p w:rsidR="0074584D" w:rsidRDefault="0074584D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27</w:t>
      </w:r>
      <w:r w:rsidRPr="00EB4CB7">
        <w:rPr>
          <w:rFonts w:ascii="Arial" w:hAnsi="Arial" w:cs="Arial"/>
          <w:b/>
          <w:sz w:val="20"/>
        </w:rPr>
        <w:t>. 1</w:t>
      </w:r>
      <w:r>
        <w:rPr>
          <w:rFonts w:ascii="Arial" w:hAnsi="Arial" w:cs="Arial"/>
          <w:b/>
          <w:sz w:val="20"/>
        </w:rPr>
        <w:t>1</w:t>
      </w:r>
      <w:r w:rsidRPr="00EB4CB7">
        <w:rPr>
          <w:rFonts w:ascii="Arial" w:hAnsi="Arial" w:cs="Arial"/>
          <w:b/>
          <w:sz w:val="20"/>
        </w:rPr>
        <w:t>. 201</w:t>
      </w:r>
      <w:r>
        <w:rPr>
          <w:rFonts w:ascii="Arial" w:hAnsi="Arial" w:cs="Arial"/>
          <w:b/>
          <w:sz w:val="20"/>
        </w:rPr>
        <w:t>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Zlatá Koruna</w:t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b/>
          <w:sz w:val="20"/>
        </w:rPr>
        <w:t>Musica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Bohemica</w:t>
      </w:r>
      <w:proofErr w:type="spellEnd"/>
      <w:r>
        <w:rPr>
          <w:rFonts w:ascii="Arial" w:hAnsi="Arial" w:cs="Arial"/>
          <w:sz w:val="20"/>
        </w:rPr>
        <w:t xml:space="preserve"> – koncert na první adventní neděli v koncertním sále</w:t>
      </w:r>
    </w:p>
    <w:p w:rsidR="0074584D" w:rsidRDefault="0074584D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6831FC" w:rsidRDefault="006831FC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74060A" w:rsidRDefault="0074060A" w:rsidP="0074060A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26</w:t>
      </w:r>
      <w:r w:rsidRPr="000D76B4">
        <w:rPr>
          <w:rFonts w:ascii="Arial" w:hAnsi="Arial" w:cs="Arial"/>
          <w:b/>
          <w:sz w:val="20"/>
        </w:rPr>
        <w:t xml:space="preserve">. 11. – </w:t>
      </w:r>
      <w:r>
        <w:rPr>
          <w:rFonts w:ascii="Arial" w:hAnsi="Arial" w:cs="Arial"/>
          <w:b/>
          <w:sz w:val="20"/>
        </w:rPr>
        <w:t>3</w:t>
      </w:r>
      <w:r w:rsidRPr="000D76B4">
        <w:rPr>
          <w:rFonts w:ascii="Arial" w:hAnsi="Arial" w:cs="Arial"/>
          <w:b/>
          <w:sz w:val="20"/>
        </w:rPr>
        <w:t>. 12. 201</w:t>
      </w:r>
      <w:r>
        <w:rPr>
          <w:rFonts w:ascii="Arial" w:hAnsi="Arial" w:cs="Arial"/>
          <w:b/>
          <w:sz w:val="20"/>
        </w:rPr>
        <w:t>6</w:t>
      </w:r>
      <w:r w:rsidRPr="000D76B4">
        <w:rPr>
          <w:rFonts w:ascii="Arial" w:hAnsi="Arial" w:cs="Arial"/>
          <w:b/>
          <w:sz w:val="20"/>
        </w:rPr>
        <w:tab/>
        <w:t>Třeboň</w:t>
      </w:r>
      <w:r w:rsidRPr="000D76B4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Kouzlo Vánoc</w:t>
      </w:r>
      <w:r>
        <w:rPr>
          <w:rFonts w:ascii="Arial" w:hAnsi="Arial" w:cs="Arial"/>
          <w:sz w:val="20"/>
        </w:rPr>
        <w:t xml:space="preserve"> – tradiční prodejní výstava Klubu Mája v zámecké galerii</w:t>
      </w:r>
    </w:p>
    <w:p w:rsidR="0074060A" w:rsidRDefault="0074060A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6831FC" w:rsidRDefault="006831FC" w:rsidP="006831FC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3. – 18. 12. 2016</w:t>
      </w:r>
      <w:r>
        <w:rPr>
          <w:rFonts w:ascii="Arial" w:hAnsi="Arial" w:cs="Arial"/>
          <w:b/>
          <w:sz w:val="20"/>
        </w:rPr>
        <w:tab/>
        <w:t>Nové Hrady</w:t>
      </w:r>
      <w:r>
        <w:rPr>
          <w:rFonts w:ascii="Arial" w:hAnsi="Arial" w:cs="Arial"/>
          <w:b/>
          <w:sz w:val="20"/>
        </w:rPr>
        <w:tab/>
        <w:t>Vánoce u pana správce</w:t>
      </w:r>
      <w:r>
        <w:rPr>
          <w:rFonts w:ascii="Arial" w:hAnsi="Arial" w:cs="Arial"/>
          <w:sz w:val="20"/>
        </w:rPr>
        <w:t xml:space="preserve"> - </w:t>
      </w:r>
      <w:r w:rsidRPr="00792C61">
        <w:rPr>
          <w:rFonts w:ascii="Arial" w:hAnsi="Arial" w:cs="Arial"/>
          <w:sz w:val="20"/>
        </w:rPr>
        <w:t xml:space="preserve">tradiční adventní nahlédnutí do atmosféry počátku 20. století v domácnosti správce panství. Adventní prohlídky se budou konat </w:t>
      </w:r>
      <w:r w:rsidRPr="00792C61">
        <w:rPr>
          <w:rFonts w:ascii="Arial" w:hAnsi="Arial" w:cs="Arial"/>
          <w:b/>
          <w:sz w:val="20"/>
        </w:rPr>
        <w:t>vždy v sobotu a v neděli</w:t>
      </w:r>
      <w:r w:rsidRPr="00792C61">
        <w:rPr>
          <w:rFonts w:ascii="Arial" w:hAnsi="Arial" w:cs="Arial"/>
          <w:sz w:val="20"/>
        </w:rPr>
        <w:t>. Pro skupiny po předchozí domluvě jsou možné i prohlídky během týdne mimo pondělí</w:t>
      </w:r>
      <w:r>
        <w:rPr>
          <w:rFonts w:ascii="Arial" w:hAnsi="Arial" w:cs="Arial"/>
          <w:sz w:val="20"/>
        </w:rPr>
        <w:t>.</w:t>
      </w:r>
    </w:p>
    <w:p w:rsidR="006831FC" w:rsidRDefault="006831FC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74060A" w:rsidRDefault="0074060A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6. – 11. 12. 2016</w:t>
      </w:r>
      <w:r>
        <w:rPr>
          <w:rFonts w:ascii="Arial" w:hAnsi="Arial" w:cs="Arial"/>
          <w:b/>
          <w:sz w:val="20"/>
        </w:rPr>
        <w:tab/>
        <w:t>Třeboň</w:t>
      </w:r>
      <w:r>
        <w:rPr>
          <w:rFonts w:ascii="Arial" w:hAnsi="Arial" w:cs="Arial"/>
          <w:b/>
          <w:sz w:val="20"/>
        </w:rPr>
        <w:tab/>
        <w:t>Skleněné Vánoce</w:t>
      </w:r>
      <w:r>
        <w:rPr>
          <w:rFonts w:ascii="Arial" w:hAnsi="Arial" w:cs="Arial"/>
          <w:sz w:val="20"/>
        </w:rPr>
        <w:t xml:space="preserve"> – tradiční výstava sklářských výrobků v zámecké galerii</w:t>
      </w:r>
    </w:p>
    <w:p w:rsidR="0074060A" w:rsidRDefault="0074060A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854A00" w:rsidRPr="000A27F0" w:rsidRDefault="00AA4CC7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10</w:t>
      </w:r>
      <w:r w:rsidR="00854A00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– 11.</w:t>
      </w:r>
      <w:r w:rsidR="00854A00">
        <w:rPr>
          <w:rFonts w:ascii="Arial" w:hAnsi="Arial" w:cs="Arial"/>
          <w:b/>
          <w:sz w:val="20"/>
        </w:rPr>
        <w:t xml:space="preserve"> 1</w:t>
      </w:r>
      <w:r>
        <w:rPr>
          <w:rFonts w:ascii="Arial" w:hAnsi="Arial" w:cs="Arial"/>
          <w:b/>
          <w:sz w:val="20"/>
        </w:rPr>
        <w:t>2</w:t>
      </w:r>
      <w:r w:rsidR="00854A00">
        <w:rPr>
          <w:rFonts w:ascii="Arial" w:hAnsi="Arial" w:cs="Arial"/>
          <w:b/>
          <w:sz w:val="20"/>
        </w:rPr>
        <w:t>. 201</w:t>
      </w:r>
      <w:r>
        <w:rPr>
          <w:rFonts w:ascii="Arial" w:hAnsi="Arial" w:cs="Arial"/>
          <w:b/>
          <w:sz w:val="20"/>
        </w:rPr>
        <w:t>6</w:t>
      </w:r>
      <w:r w:rsidR="00854A0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Jindřichův Hradec</w:t>
      </w:r>
      <w:r w:rsidR="00854A00"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>Adventní dny</w:t>
      </w:r>
      <w:r>
        <w:rPr>
          <w:rFonts w:ascii="Arial" w:hAnsi="Arial" w:cs="Arial"/>
          <w:sz w:val="20"/>
        </w:rPr>
        <w:t xml:space="preserve"> – oblíben</w:t>
      </w:r>
      <w:r w:rsidR="006831FC">
        <w:rPr>
          <w:rFonts w:ascii="Arial" w:hAnsi="Arial" w:cs="Arial"/>
          <w:sz w:val="20"/>
        </w:rPr>
        <w:t>á akce opět zprovozní unikátní Č</w:t>
      </w:r>
      <w:r>
        <w:rPr>
          <w:rFonts w:ascii="Arial" w:hAnsi="Arial" w:cs="Arial"/>
          <w:sz w:val="20"/>
        </w:rPr>
        <w:t>ernou kuchyni, pro malé i velké je připraven malý zvěřinec, sokolnické ukázky cvičených dravých ptáků, lukostřelba, ukázky řemesel, tvůrčí dílna</w:t>
      </w:r>
      <w:r w:rsidR="006831FC">
        <w:rPr>
          <w:rFonts w:ascii="Arial" w:hAnsi="Arial" w:cs="Arial"/>
          <w:sz w:val="20"/>
        </w:rPr>
        <w:t xml:space="preserve">, </w:t>
      </w:r>
      <w:r w:rsidR="006831FC" w:rsidRPr="006831FC">
        <w:rPr>
          <w:rFonts w:ascii="Arial" w:hAnsi="Arial" w:cs="Arial"/>
          <w:sz w:val="20"/>
        </w:rPr>
        <w:t>pěvecká, taneční i divadelní vystoupení</w:t>
      </w:r>
      <w:r>
        <w:rPr>
          <w:rFonts w:ascii="Arial" w:hAnsi="Arial" w:cs="Arial"/>
          <w:sz w:val="20"/>
        </w:rPr>
        <w:t xml:space="preserve"> </w:t>
      </w:r>
      <w:r w:rsidR="006831FC">
        <w:rPr>
          <w:rFonts w:ascii="Arial" w:hAnsi="Arial" w:cs="Arial"/>
          <w:sz w:val="20"/>
        </w:rPr>
        <w:t>a</w:t>
      </w:r>
      <w:r>
        <w:rPr>
          <w:rFonts w:ascii="Arial" w:hAnsi="Arial" w:cs="Arial"/>
          <w:sz w:val="20"/>
        </w:rPr>
        <w:t xml:space="preserve"> ekumenická bohoslužba</w:t>
      </w:r>
      <w:r w:rsidR="006831FC">
        <w:rPr>
          <w:rFonts w:ascii="Arial" w:hAnsi="Arial" w:cs="Arial"/>
          <w:sz w:val="20"/>
        </w:rPr>
        <w:t xml:space="preserve">; </w:t>
      </w:r>
      <w:hyperlink r:id="rId25" w:history="1">
        <w:r w:rsidR="006831FC" w:rsidRPr="00955A74">
          <w:rPr>
            <w:rStyle w:val="Hypertextovodkaz"/>
            <w:rFonts w:ascii="Arial" w:hAnsi="Arial" w:cs="Arial"/>
            <w:sz w:val="20"/>
          </w:rPr>
          <w:t>https://www.zamek-jindrichuvhradec.eu/cs/akce/18434-adventni-dny-2016</w:t>
        </w:r>
      </w:hyperlink>
      <w:r w:rsidR="006831FC">
        <w:rPr>
          <w:rFonts w:ascii="Arial" w:hAnsi="Arial" w:cs="Arial"/>
          <w:sz w:val="20"/>
        </w:rPr>
        <w:t xml:space="preserve"> </w:t>
      </w:r>
    </w:p>
    <w:p w:rsidR="00854A00" w:rsidRDefault="00854A00" w:rsidP="00854A00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</w:p>
    <w:p w:rsidR="0074060A" w:rsidRPr="000D76B4" w:rsidRDefault="0074060A" w:rsidP="0074060A">
      <w:pPr>
        <w:tabs>
          <w:tab w:val="left" w:pos="2410"/>
          <w:tab w:val="left" w:pos="4395"/>
        </w:tabs>
        <w:spacing w:line="360" w:lineRule="auto"/>
        <w:ind w:left="4395" w:hanging="4395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28. – 30. 12. 2016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Třeboň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Vánoce na zámku</w:t>
      </w:r>
      <w:r>
        <w:rPr>
          <w:rFonts w:ascii="Arial" w:hAnsi="Arial" w:cs="Arial"/>
          <w:sz w:val="20"/>
        </w:rPr>
        <w:t xml:space="preserve"> – tradiční procházky schwarzenberskými apartmány, vánočně vyzdobenými, za doprovodu historických postav </w:t>
      </w:r>
    </w:p>
    <w:p w:rsidR="00854A00" w:rsidRDefault="00854A00" w:rsidP="00B65AA5">
      <w:pPr>
        <w:tabs>
          <w:tab w:val="left" w:pos="2410"/>
          <w:tab w:val="left" w:pos="4395"/>
        </w:tabs>
        <w:spacing w:line="360" w:lineRule="auto"/>
        <w:rPr>
          <w:rFonts w:ascii="Arial" w:hAnsi="Arial" w:cs="Arial"/>
          <w:sz w:val="20"/>
        </w:rPr>
      </w:pPr>
    </w:p>
    <w:p w:rsidR="00854A00" w:rsidRDefault="00854A00" w:rsidP="00854A00">
      <w:pPr>
        <w:tabs>
          <w:tab w:val="left" w:pos="2410"/>
          <w:tab w:val="left" w:pos="4395"/>
        </w:tabs>
        <w:spacing w:line="360" w:lineRule="auto"/>
        <w:rPr>
          <w:rFonts w:ascii="Arial" w:hAnsi="Arial" w:cs="Arial"/>
          <w:b/>
          <w:sz w:val="20"/>
        </w:rPr>
      </w:pPr>
    </w:p>
    <w:p w:rsidR="00854A00" w:rsidRDefault="00854A00" w:rsidP="00854A00"/>
    <w:p w:rsidR="001B279D" w:rsidRDefault="001B279D"/>
    <w:sectPr w:rsidR="001B279D" w:rsidSect="0089614E">
      <w:pgSz w:w="11906" w:h="16838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5A1" w:rsidRDefault="00EF35A1" w:rsidP="0089614E">
      <w:r>
        <w:separator/>
      </w:r>
    </w:p>
  </w:endnote>
  <w:endnote w:type="continuationSeparator" w:id="0">
    <w:p w:rsidR="00EF35A1" w:rsidRDefault="00EF35A1" w:rsidP="00896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5A1" w:rsidRDefault="00EF35A1" w:rsidP="0089614E">
      <w:r>
        <w:separator/>
      </w:r>
    </w:p>
  </w:footnote>
  <w:footnote w:type="continuationSeparator" w:id="0">
    <w:p w:rsidR="00EF35A1" w:rsidRDefault="00EF35A1" w:rsidP="00896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11" w:rsidRDefault="003F6411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11" w:rsidRDefault="003F6411" w:rsidP="007D7A3B">
    <w:pPr>
      <w:pStyle w:val="Zhlav"/>
      <w:ind w:left="-284"/>
    </w:pPr>
    <w:r>
      <w:rPr>
        <w:noProof/>
      </w:rPr>
      <w:drawing>
        <wp:inline distT="0" distB="0" distL="0" distR="0">
          <wp:extent cx="2657475" cy="739815"/>
          <wp:effectExtent l="0" t="0" r="0" b="317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NPU-UPS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341" cy="741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11" w:rsidRDefault="003F6411" w:rsidP="007D7A3B">
    <w:pPr>
      <w:pStyle w:val="Zhlav"/>
      <w:ind w:left="-142"/>
    </w:pPr>
    <w:r>
      <w:rPr>
        <w:noProof/>
      </w:rPr>
      <w:drawing>
        <wp:inline distT="0" distB="0" distL="0" distR="0">
          <wp:extent cx="2428121" cy="67596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!NPU-UPS-C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4237" cy="6776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411" w:rsidRDefault="003F6411" w:rsidP="007D7A3B">
    <w:pPr>
      <w:pStyle w:val="Zhlav"/>
      <w:ind w:left="-14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54A00"/>
    <w:rsid w:val="000241CB"/>
    <w:rsid w:val="000A2E6E"/>
    <w:rsid w:val="000A7D06"/>
    <w:rsid w:val="000D5D9F"/>
    <w:rsid w:val="000E2DF1"/>
    <w:rsid w:val="001116E9"/>
    <w:rsid w:val="00151496"/>
    <w:rsid w:val="001B279D"/>
    <w:rsid w:val="001E71EE"/>
    <w:rsid w:val="00215F00"/>
    <w:rsid w:val="00244727"/>
    <w:rsid w:val="002F2D59"/>
    <w:rsid w:val="00312D9B"/>
    <w:rsid w:val="00322679"/>
    <w:rsid w:val="00326D24"/>
    <w:rsid w:val="003418F8"/>
    <w:rsid w:val="0034638F"/>
    <w:rsid w:val="00356E66"/>
    <w:rsid w:val="003E1DC5"/>
    <w:rsid w:val="003F6411"/>
    <w:rsid w:val="00423368"/>
    <w:rsid w:val="00452643"/>
    <w:rsid w:val="004C2984"/>
    <w:rsid w:val="004D0482"/>
    <w:rsid w:val="00592B19"/>
    <w:rsid w:val="005A30EE"/>
    <w:rsid w:val="00655E84"/>
    <w:rsid w:val="00673ECA"/>
    <w:rsid w:val="006831FC"/>
    <w:rsid w:val="00685031"/>
    <w:rsid w:val="0069310F"/>
    <w:rsid w:val="0074060A"/>
    <w:rsid w:val="0074584D"/>
    <w:rsid w:val="007D7A3B"/>
    <w:rsid w:val="00800D09"/>
    <w:rsid w:val="00813422"/>
    <w:rsid w:val="008248A3"/>
    <w:rsid w:val="00832925"/>
    <w:rsid w:val="00850593"/>
    <w:rsid w:val="00854A00"/>
    <w:rsid w:val="0089614E"/>
    <w:rsid w:val="008F1A62"/>
    <w:rsid w:val="009C371E"/>
    <w:rsid w:val="00A71F2D"/>
    <w:rsid w:val="00AA4CC7"/>
    <w:rsid w:val="00AB2D6B"/>
    <w:rsid w:val="00AC338E"/>
    <w:rsid w:val="00AF79B9"/>
    <w:rsid w:val="00AF7E2A"/>
    <w:rsid w:val="00B24529"/>
    <w:rsid w:val="00B65AA5"/>
    <w:rsid w:val="00BA3363"/>
    <w:rsid w:val="00C0114C"/>
    <w:rsid w:val="00C9592B"/>
    <w:rsid w:val="00CA48C0"/>
    <w:rsid w:val="00E84549"/>
    <w:rsid w:val="00EB45A7"/>
    <w:rsid w:val="00EC43D5"/>
    <w:rsid w:val="00EC79FA"/>
    <w:rsid w:val="00EF35A1"/>
    <w:rsid w:val="00F25348"/>
    <w:rsid w:val="00F57E07"/>
    <w:rsid w:val="00FA19AF"/>
    <w:rsid w:val="00FE3D92"/>
    <w:rsid w:val="00FE7525"/>
    <w:rsid w:val="00FF0BC1"/>
    <w:rsid w:val="00FF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54A0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4A0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54A0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85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A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54A0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854A0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854A0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4A0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54A0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54A00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4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A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A3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4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854A00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854A00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rsid w:val="00854A00"/>
    <w:rPr>
      <w:color w:val="0000FF"/>
      <w:u w:val="single"/>
    </w:rPr>
  </w:style>
  <w:style w:type="paragraph" w:styleId="Zhlav">
    <w:name w:val="header"/>
    <w:basedOn w:val="Normln"/>
    <w:link w:val="ZhlavChar"/>
    <w:semiHidden/>
    <w:rsid w:val="00854A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854A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854A00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854A00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semiHidden/>
    <w:rsid w:val="00854A00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54A00"/>
    <w:rPr>
      <w:rFonts w:ascii="Arial" w:eastAsia="Times New Roman" w:hAnsi="Arial" w:cs="Arial"/>
      <w:sz w:val="20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854A00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854A00"/>
    <w:rPr>
      <w:rFonts w:ascii="Arial" w:eastAsia="Times New Roman" w:hAnsi="Arial" w:cs="Arial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4A0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4A0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7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7A3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zmberk@npu.cz" TargetMode="External"/><Relationship Id="rId13" Type="http://schemas.openxmlformats.org/officeDocument/2006/relationships/hyperlink" Target="http://www.npu.cz" TargetMode="External"/><Relationship Id="rId18" Type="http://schemas.openxmlformats.org/officeDocument/2006/relationships/header" Target="header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hrad-novehrady.eu/cs/akce/18134-novohradske-podzimni-slavnosti-vilema-z-landstejna" TargetMode="External"/><Relationship Id="rId7" Type="http://schemas.openxmlformats.org/officeDocument/2006/relationships/hyperlink" Target="https://www.zamek-hluboka.eu/cs/informace-pro-navstevniky/prohlidkove-okruhy/1496-zimni-prohlidkova-trasa" TargetMode="External"/><Relationship Id="rId12" Type="http://schemas.openxmlformats.org/officeDocument/2006/relationships/hyperlink" Target="https://www.zamek-trebon.eu" TargetMode="External"/><Relationship Id="rId17" Type="http://schemas.openxmlformats.org/officeDocument/2006/relationships/header" Target="header1.xml"/><Relationship Id="rId25" Type="http://schemas.openxmlformats.org/officeDocument/2006/relationships/hyperlink" Target="https://www.zamek-jindrichuvhradec.eu/cs/akce/18434-adventni-dny-2016" TargetMode="External"/><Relationship Id="rId2" Type="http://schemas.openxmlformats.org/officeDocument/2006/relationships/styles" Target="styles.xml"/><Relationship Id="rId16" Type="http://schemas.openxmlformats.org/officeDocument/2006/relationships/hyperlink" Target="mailto:skorepova.jitka@npu.cz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rad-novehrady.eu" TargetMode="External"/><Relationship Id="rId24" Type="http://schemas.openxmlformats.org/officeDocument/2006/relationships/hyperlink" Target="https://www.zamek-cervenalhota.eu/cs/akce/17108-mse-v-zamecke-kapli-na-cervene-lhot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velec.petr@npu.cz" TargetMode="External"/><Relationship Id="rId23" Type="http://schemas.openxmlformats.org/officeDocument/2006/relationships/hyperlink" Target="https://www.hrad-landstejn.eu/cs/akce/2074-uklid-lesa-v-okoli-hradu-landstejn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s://www.zamek-ceskykrumlov.eu/cs/informace-pro-navstevniky/prohlidkove-okruhy/1077-hradni-muzeu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hrad-rozmberk.eu/cs/informace-pro-navstevniky/prohlidkove-okruhy/6164-2-trasa-soukrome-pokoje" TargetMode="External"/><Relationship Id="rId14" Type="http://schemas.openxmlformats.org/officeDocument/2006/relationships/hyperlink" Target="http://www.npu.cz" TargetMode="External"/><Relationship Id="rId22" Type="http://schemas.openxmlformats.org/officeDocument/2006/relationships/hyperlink" Target="https://www.hrad-landstejn.eu/cs/akce/2073-na-hrad-landstejn-za-bubaky" TargetMode="Externa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2EEE-33E7-471F-A8E0-4F8A4C24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3067</Words>
  <Characters>18097</Characters>
  <Application>Microsoft Office Word</Application>
  <DocSecurity>0</DocSecurity>
  <Lines>150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Skořepová</dc:creator>
  <cp:lastModifiedBy>Ludmila Kučerová</cp:lastModifiedBy>
  <cp:revision>2</cp:revision>
  <cp:lastPrinted>2016-10-25T14:20:00Z</cp:lastPrinted>
  <dcterms:created xsi:type="dcterms:W3CDTF">2016-10-26T12:02:00Z</dcterms:created>
  <dcterms:modified xsi:type="dcterms:W3CDTF">2016-10-26T12:02:00Z</dcterms:modified>
</cp:coreProperties>
</file>