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4F" w:rsidRDefault="001F794F" w:rsidP="00C50580">
      <w:pPr>
        <w:rPr>
          <w:sz w:val="24"/>
          <w:szCs w:val="24"/>
        </w:rPr>
      </w:pPr>
    </w:p>
    <w:p w:rsidR="00636C6C" w:rsidRDefault="00636C6C" w:rsidP="001C1738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Telči 2. října 2015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>Prof. Petr Charvát</w:t>
      </w:r>
    </w:p>
    <w:p w:rsidR="00636C6C" w:rsidRDefault="00636C6C" w:rsidP="00636C6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Edukace jako cesta ke zkvalitňování péče o kulturní dědictví: Závěry konference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Osou a pilířem celé konference, konané v Telči ve dnech 24. – 26. 9. 2015, se stal průběh, výsledky a doprovodné teoretické i praktické závěry projektu programu NAKI s pracovním názvem „Památky nás baví“. Tento čtyřletý projekt, prováděný v letech 2012-2015 nákladem 20 milionů Kč, spočíval především na bedrech pracovníků územního </w:t>
      </w:r>
      <w:r w:rsidR="00CE1779">
        <w:rPr>
          <w:sz w:val="24"/>
          <w:szCs w:val="24"/>
        </w:rPr>
        <w:t xml:space="preserve">odborného </w:t>
      </w:r>
      <w:r>
        <w:rPr>
          <w:sz w:val="24"/>
          <w:szCs w:val="24"/>
        </w:rPr>
        <w:t>pracoviště Národního památkového ústavu v Telči; spolupodílely se na něm rovněž dvě pracoviště univerzitní, a to Pedagogické fakulty Univerzity Karlovy v Praze a Masarykovy univerzity v Brně.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Účastníci vyslechli především referáty vztahující se k projektu samému – k jeho genezi (Kateřina Charvátová), dnešnímu stavu (Martina Indrová) a teoretickým základům (Hana </w:t>
      </w:r>
      <w:proofErr w:type="spellStart"/>
      <w:r>
        <w:rPr>
          <w:sz w:val="24"/>
          <w:szCs w:val="24"/>
        </w:rPr>
        <w:t>Havlůjová</w:t>
      </w:r>
      <w:proofErr w:type="spellEnd"/>
      <w:r>
        <w:rPr>
          <w:sz w:val="24"/>
          <w:szCs w:val="24"/>
        </w:rPr>
        <w:t>). Celý projekt, který přispěl velmi výrazně k rozvoji metodiky zhodnocování kulturního dědictví ČR, si nepochybně získal velké zásluhy.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se ovšem podařilo uskutečnit zejména díky účastníkům ze zahraničí, kteří přispěli již ve formativní fázi k rozvrhu a ustrojení projektu. Mimořádně významný příspěvek v tomto směru zaslal pořadatelům konference Tim Copeland, který ve smělé vizi nastínil význam a úlohu vzdělávání v oblasti kulturního dědictví v oblastech vytváření nových občanských postojů, upevňování demokracie a čelení globálním výzvám 21. století. Další příspěvky zahraničních účastníků osvětlily především podmínky, díky nimž se v Evropě rozvíjelo společenské využití kulturního dědictví. 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Rozdíly oproti ČR spočívají především v měřítcích; v geografickém rámci naší země sotva dosáhneme milionů návštěvníků ročně a finančních výnosů dosahujících sum vyjadřovaných </w:t>
      </w:r>
      <w:proofErr w:type="spellStart"/>
      <w:r>
        <w:rPr>
          <w:sz w:val="24"/>
          <w:szCs w:val="24"/>
        </w:rPr>
        <w:t>sedmiřádovými</w:t>
      </w:r>
      <w:proofErr w:type="spellEnd"/>
      <w:r>
        <w:rPr>
          <w:sz w:val="24"/>
          <w:szCs w:val="24"/>
        </w:rPr>
        <w:t xml:space="preserve"> čísly. Nespornou výhodou je pro západní Evropu především tradice a stabilita. Většina významných organizací zabývajících se odborným ošetřením a společenským využitím památek tam vznikla již velmi dávno (Society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Buildings</w:t>
      </w:r>
      <w:proofErr w:type="spellEnd"/>
      <w:r>
        <w:rPr>
          <w:sz w:val="24"/>
          <w:szCs w:val="24"/>
        </w:rPr>
        <w:t xml:space="preserve"> roku 1877, </w:t>
      </w:r>
    </w:p>
    <w:p w:rsidR="00636C6C" w:rsidRDefault="00636C6C" w:rsidP="00636C6C">
      <w:pPr>
        <w:jc w:val="both"/>
        <w:rPr>
          <w:sz w:val="24"/>
          <w:szCs w:val="24"/>
        </w:rPr>
      </w:pP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sbírka sádrových odlitků uměleckých děl středověké Francie dnes v </w:t>
      </w:r>
      <w:proofErr w:type="spellStart"/>
      <w:r>
        <w:rPr>
          <w:sz w:val="24"/>
          <w:szCs w:val="24"/>
        </w:rPr>
        <w:t>Cité</w:t>
      </w:r>
      <w:proofErr w:type="spellEnd"/>
      <w:r>
        <w:rPr>
          <w:sz w:val="24"/>
          <w:szCs w:val="24"/>
        </w:rPr>
        <w:t xml:space="preserve"> de l´</w:t>
      </w:r>
      <w:proofErr w:type="spellStart"/>
      <w:r>
        <w:rPr>
          <w:sz w:val="24"/>
          <w:szCs w:val="24"/>
        </w:rPr>
        <w:t>Architecture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Patrimoine</w:t>
      </w:r>
      <w:proofErr w:type="spellEnd"/>
      <w:r>
        <w:rPr>
          <w:sz w:val="24"/>
          <w:szCs w:val="24"/>
        </w:rPr>
        <w:t xml:space="preserve"> roku 1882, </w:t>
      </w:r>
      <w:proofErr w:type="spellStart"/>
      <w:r>
        <w:rPr>
          <w:sz w:val="24"/>
          <w:szCs w:val="24"/>
        </w:rPr>
        <w:t>National</w:t>
      </w:r>
      <w:proofErr w:type="spellEnd"/>
      <w:r>
        <w:rPr>
          <w:sz w:val="24"/>
          <w:szCs w:val="24"/>
        </w:rPr>
        <w:t xml:space="preserve"> Trust roku 1884). Zvláštní význam třeba připsat i stabilitě, zejména právní; ať již šlo o občanské společnosti britské, nebo většinou státní instituce francouzské, obvykle přetrvávají dlouhodobě. Třetí faktor, inspirující naše současné úsilí, představují specifické rysy sociální situace západní Evropy. Ochrana a společenské využití </w:t>
      </w:r>
      <w:r>
        <w:rPr>
          <w:sz w:val="24"/>
          <w:szCs w:val="24"/>
        </w:rPr>
        <w:lastRenderedPageBreak/>
        <w:t>památek tam vždy byly „in“, podle nepsané, ale dodržované zásady „prostě se to dělá“; toto si uvědomujeme především v souvislosti s velmi rozvinutou prací s dobrovolníky, charakterizující poměry Spojeného království. Tak dospívají ve společenském využití památkového fondu západní kolegové až ke stupni zřetelně viditelném třeba na projektu „</w:t>
      </w:r>
      <w:proofErr w:type="spellStart"/>
      <w:r>
        <w:rPr>
          <w:sz w:val="24"/>
          <w:szCs w:val="24"/>
        </w:rPr>
        <w:t>Historic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Royal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Palaces</w:t>
      </w:r>
      <w:proofErr w:type="spellEnd"/>
      <w:r>
        <w:rPr>
          <w:sz w:val="24"/>
          <w:szCs w:val="24"/>
        </w:rPr>
        <w:t>“.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>Na konferenci zazněl i referát o problematice památek v kulturním výboru Evropského parlamentu. Evropský parlament si význam a strukturu společenského využití památek velmi dobře uvědomuje, jakkoli se převážně věnuje finančnímu zabezpečení příslušných aktivit.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>Celá řada konferenčních příspěvků se soustředila na jednotlivé dílčí projekty souhrnného programu „Památky nás baví“. Z úctyhodné řady kvalitních příspěvků jmenujme především aktivity probíhající na hradě a zámku Bečov, dále v Hradci nad Moravicí, přímo v Telči a v jejím širším okolí (neobyčejně podnětný projekt „Žáci provádějí žáky“), dále v zámeckých zahradách v Kroměříži, v oblasti industriálního dědictví Ostravy, na řadě církevních památek středočeských či ve Zlaté Koruně. V obdobném duchu se však nesla i činnost ve skanzenu Veselý Kopec u Hlinska nebo projekt technologické laboratoře NPÚ „(Ne)tušené souvislosti“.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obrazu projektu „Památky nás baví“ náleží ovšem také upozornění na možné překážky a negativa v oblasti výchovy k úctě ke kulturnímu dědictví. Účastníci konference zmínili třeba nekázeň až nevůli návštěvnického publika, která může vést k poškození kulturních statků. Na výkyvy v zájmu dobrovolníků o práci na zvelebování zubem času napadených památek upozornil jeden z přispěvatelů. Možná nebezpečí se skrývají i ve sféře legislativní; bylo upozorněno na skutečnost, že řada ochranných opatření, zejména v oblasti </w:t>
      </w:r>
      <w:proofErr w:type="spellStart"/>
      <w:r>
        <w:rPr>
          <w:sz w:val="24"/>
          <w:szCs w:val="24"/>
        </w:rPr>
        <w:t>krajinotvorby</w:t>
      </w:r>
      <w:proofErr w:type="spellEnd"/>
      <w:r>
        <w:rPr>
          <w:sz w:val="24"/>
          <w:szCs w:val="24"/>
        </w:rPr>
        <w:t>, je v západních zemích obsažena již ve stavebních zákonech, kdežto u nás tento pohled chybí. Konečně nelze vynechat ani upřednostňování sebezáchovné tendence, která se může vyskytnout rovněž ve sféře organizací zabývajících se profesionálně kulturní činností, ochranou a společenským využitím památek.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>Konference však jednoznačně vyústila v závěr, že možnost dosáhnout kvalitních výsledků ve výchově veřejnosti k úctě ke kulturnímu dědictví spočívá především na čtyřech faktorech: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>1) Lidé – vzdělaní, motivovaní, schopní a tvůrčí pracovníci v této oblasti;</w:t>
      </w:r>
    </w:p>
    <w:p w:rsidR="00636C6C" w:rsidRDefault="00636C6C" w:rsidP="00636C6C">
      <w:pPr>
        <w:jc w:val="both"/>
        <w:rPr>
          <w:sz w:val="24"/>
          <w:szCs w:val="24"/>
        </w:rPr>
      </w:pPr>
    </w:p>
    <w:p w:rsidR="00636C6C" w:rsidRDefault="00636C6C" w:rsidP="00636C6C">
      <w:pPr>
        <w:jc w:val="both"/>
        <w:rPr>
          <w:sz w:val="24"/>
          <w:szCs w:val="24"/>
        </w:rPr>
      </w:pP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>2) Věda – výchova veřejnosti k úctě ke kulturnímu dědictví se neobejde bez zapojení posledních výsledků příslušných vědních disciplín;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>3) Podpůrný aparát – naši práci velmi usnadňují kvalifikované a motivované „pomocné síly“, zvládající především sféru elektronické tvorby a komunikace;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4) </w:t>
      </w:r>
      <w:r w:rsidR="00821410">
        <w:rPr>
          <w:sz w:val="24"/>
          <w:szCs w:val="24"/>
        </w:rPr>
        <w:t>Z</w:t>
      </w:r>
      <w:r>
        <w:rPr>
          <w:sz w:val="24"/>
          <w:szCs w:val="24"/>
        </w:rPr>
        <w:t xml:space="preserve">e všeho nejdůležitější je však faktor čtvrtý – poučené, pozorné a zvídavé publikum. Právě jemu jsme zavázáni poskytovat ty nejkvalitnější služby a nasadit všechny síly pro to, aby se takovým stalo. </w:t>
      </w:r>
    </w:p>
    <w:p w:rsidR="00636C6C" w:rsidRDefault="00636C6C" w:rsidP="00636C6C">
      <w:pPr>
        <w:jc w:val="both"/>
        <w:rPr>
          <w:sz w:val="24"/>
          <w:szCs w:val="24"/>
        </w:rPr>
      </w:pPr>
      <w:r>
        <w:rPr>
          <w:sz w:val="24"/>
          <w:szCs w:val="24"/>
        </w:rPr>
        <w:t>Zvolejme tedy s </w:t>
      </w:r>
      <w:proofErr w:type="spellStart"/>
      <w:r>
        <w:rPr>
          <w:sz w:val="24"/>
          <w:szCs w:val="24"/>
        </w:rPr>
        <w:t>Timem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Copelandem</w:t>
      </w:r>
      <w:proofErr w:type="spellEnd"/>
      <w:r>
        <w:rPr>
          <w:sz w:val="24"/>
          <w:szCs w:val="24"/>
        </w:rPr>
        <w:t xml:space="preserve">: „Let </w:t>
      </w:r>
      <w:proofErr w:type="spellStart"/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>!“</w:t>
      </w:r>
    </w:p>
    <w:p w:rsidR="00636C6C" w:rsidRDefault="00636C6C" w:rsidP="00636C6C">
      <w:pPr>
        <w:jc w:val="both"/>
        <w:rPr>
          <w:sz w:val="24"/>
          <w:szCs w:val="24"/>
        </w:rPr>
      </w:pPr>
    </w:p>
    <w:p w:rsidR="001C1738" w:rsidRDefault="001C1738" w:rsidP="001C1738">
      <w:pPr>
        <w:pStyle w:val="Normlnweb"/>
        <w:pBdr>
          <w:bottom w:val="single" w:sz="4" w:space="1" w:color="000000"/>
        </w:pBdr>
        <w:jc w:val="both"/>
        <w:rPr>
          <w:rFonts w:asciiTheme="minorHAnsi" w:hAnsiTheme="minorHAnsi"/>
          <w:b/>
        </w:rPr>
      </w:pPr>
    </w:p>
    <w:p w:rsidR="001C1738" w:rsidRDefault="001C1738" w:rsidP="001C1738">
      <w:pPr>
        <w:pStyle w:val="Prosttext1"/>
        <w:rPr>
          <w:rFonts w:asciiTheme="minorHAnsi" w:hAnsiTheme="minorHAnsi" w:cs="Arial"/>
          <w:b/>
          <w:i/>
          <w:sz w:val="20"/>
          <w:szCs w:val="20"/>
        </w:rPr>
      </w:pPr>
    </w:p>
    <w:p w:rsidR="001C1738" w:rsidRDefault="001C1738" w:rsidP="001C1738">
      <w:pPr>
        <w:pStyle w:val="Prosttext1"/>
        <w:rPr>
          <w:rFonts w:asciiTheme="minorHAnsi" w:hAnsiTheme="minorHAnsi" w:cs="Arial"/>
          <w:b/>
          <w:i/>
          <w:sz w:val="20"/>
          <w:szCs w:val="20"/>
        </w:rPr>
      </w:pPr>
      <w:r>
        <w:rPr>
          <w:rFonts w:asciiTheme="minorHAnsi" w:hAnsiTheme="minorHAnsi" w:cs="Arial"/>
          <w:b/>
          <w:i/>
          <w:sz w:val="20"/>
          <w:szCs w:val="20"/>
        </w:rPr>
        <w:t xml:space="preserve">Kontakt: </w:t>
      </w:r>
    </w:p>
    <w:p w:rsidR="001C1738" w:rsidRDefault="001C1738" w:rsidP="001C1738">
      <w:pPr>
        <w:rPr>
          <w:rFonts w:cs="Tahoma"/>
          <w:noProof/>
          <w:color w:val="0000A0"/>
          <w:sz w:val="18"/>
          <w:szCs w:val="18"/>
          <w:lang w:eastAsia="cs-CZ"/>
        </w:rPr>
      </w:pPr>
      <w:r>
        <w:rPr>
          <w:rFonts w:cs="Arial"/>
          <w:b/>
          <w:bCs/>
          <w:sz w:val="18"/>
          <w:szCs w:val="18"/>
        </w:rPr>
        <w:t>Ilona Ampapová, prezentace a práce s veřejností</w:t>
      </w:r>
      <w:r>
        <w:rPr>
          <w:rFonts w:cs="Arial"/>
          <w:sz w:val="18"/>
          <w:szCs w:val="18"/>
        </w:rPr>
        <w:t xml:space="preserve">, NPÚ ÚOP Telč, 724 663 511, </w:t>
      </w:r>
      <w:r>
        <w:rPr>
          <w:rFonts w:cs="Tahoma"/>
          <w:noProof/>
          <w:sz w:val="18"/>
          <w:szCs w:val="18"/>
          <w:lang w:eastAsia="cs-CZ"/>
        </w:rPr>
        <w:t xml:space="preserve">e-mail: </w:t>
      </w:r>
      <w:r>
        <w:rPr>
          <w:rFonts w:cs="Tahoma"/>
          <w:noProof/>
          <w:color w:val="0000A0"/>
          <w:sz w:val="18"/>
          <w:szCs w:val="18"/>
          <w:lang w:eastAsia="cs-CZ"/>
        </w:rPr>
        <w:t>ampapova.ilona@npu.cz</w:t>
      </w:r>
      <w:r>
        <w:rPr>
          <w:noProof/>
          <w:color w:val="000080"/>
          <w:sz w:val="18"/>
          <w:szCs w:val="18"/>
          <w:lang w:val="en-US" w:eastAsia="cs-CZ"/>
        </w:rPr>
        <w:t xml:space="preserve"> </w:t>
      </w:r>
    </w:p>
    <w:p w:rsidR="001C1738" w:rsidRDefault="001C1738" w:rsidP="001C1738">
      <w:pPr>
        <w:rPr>
          <w:rFonts w:cs="Tahoma"/>
          <w:noProof/>
          <w:sz w:val="20"/>
          <w:szCs w:val="20"/>
          <w:lang w:eastAsia="cs-CZ"/>
        </w:rPr>
      </w:pPr>
    </w:p>
    <w:p w:rsidR="001C1738" w:rsidRDefault="001C1738" w:rsidP="001C1738">
      <w:pPr>
        <w:pStyle w:val="Prosttext1"/>
        <w:rPr>
          <w:rFonts w:asciiTheme="minorHAnsi" w:hAnsiTheme="minorHAnsi" w:cs="Arial"/>
        </w:rPr>
      </w:pPr>
    </w:p>
    <w:p w:rsidR="00AB045A" w:rsidRDefault="00AB045A" w:rsidP="00636C6C">
      <w:pPr>
        <w:pStyle w:val="Textkomente"/>
        <w:jc w:val="both"/>
        <w:rPr>
          <w:rFonts w:asciiTheme="minorHAnsi" w:hAnsiTheme="minorHAnsi"/>
          <w:b/>
          <w:bCs/>
          <w:iCs/>
          <w:sz w:val="24"/>
          <w:szCs w:val="24"/>
        </w:rPr>
      </w:pPr>
    </w:p>
    <w:sectPr w:rsidR="00AB045A" w:rsidSect="00A603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0F6" w:rsidRDefault="00FD10F6" w:rsidP="00AF38D5">
      <w:pPr>
        <w:spacing w:after="0" w:line="240" w:lineRule="auto"/>
      </w:pPr>
      <w:r>
        <w:separator/>
      </w:r>
    </w:p>
  </w:endnote>
  <w:endnote w:type="continuationSeparator" w:id="0">
    <w:p w:rsidR="00FD10F6" w:rsidRDefault="00FD10F6" w:rsidP="00AF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134" w:rsidRPr="00474134" w:rsidRDefault="00474134" w:rsidP="00474134">
    <w:pPr>
      <w:pStyle w:val="Style1"/>
      <w:tabs>
        <w:tab w:val="right" w:pos="9071"/>
      </w:tabs>
      <w:rPr>
        <w:rFonts w:ascii="Calibri" w:hAnsi="Calibri"/>
        <w:color w:val="595959" w:themeColor="text1" w:themeTint="A6"/>
        <w:sz w:val="18"/>
        <w:szCs w:val="18"/>
      </w:rPr>
    </w:pPr>
    <w:r w:rsidRPr="00474134">
      <w:rPr>
        <w:rFonts w:ascii="Calibri" w:hAnsi="Calibri"/>
        <w:color w:val="595959" w:themeColor="text1" w:themeTint="A6"/>
        <w:sz w:val="18"/>
        <w:szCs w:val="18"/>
      </w:rPr>
      <w:t>Národní památkový ústav, územní odborné pracoviště v Telči | Hradecká 6, 588 56 Telč</w:t>
    </w:r>
    <w:r w:rsidRPr="00474134">
      <w:rPr>
        <w:rFonts w:ascii="Calibri" w:hAnsi="Calibri"/>
        <w:color w:val="595959" w:themeColor="text1" w:themeTint="A6"/>
        <w:sz w:val="18"/>
        <w:szCs w:val="18"/>
      </w:rPr>
      <w:tab/>
    </w:r>
  </w:p>
  <w:p w:rsidR="00474134" w:rsidRPr="00474134" w:rsidRDefault="00474134" w:rsidP="00474134">
    <w:pPr>
      <w:pStyle w:val="Zpat"/>
      <w:rPr>
        <w:color w:val="595959" w:themeColor="text1" w:themeTint="A6"/>
      </w:rPr>
    </w:pPr>
    <w:r w:rsidRPr="00474134">
      <w:rPr>
        <w:rFonts w:ascii="Calibri" w:hAnsi="Calibri"/>
        <w:color w:val="595959" w:themeColor="text1" w:themeTint="A6"/>
        <w:sz w:val="18"/>
        <w:szCs w:val="18"/>
      </w:rPr>
      <w:t>T +420 567 243 655 | F +420 567 243 655 | E epodatelna@npu.cz | DS 2cy8h6t | IČ 75032333 | DIČ CZ75032333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0F6" w:rsidRDefault="00FD10F6" w:rsidP="00AF38D5">
      <w:pPr>
        <w:spacing w:after="0" w:line="240" w:lineRule="auto"/>
      </w:pPr>
      <w:r>
        <w:separator/>
      </w:r>
    </w:p>
  </w:footnote>
  <w:footnote w:type="continuationSeparator" w:id="0">
    <w:p w:rsidR="00FD10F6" w:rsidRDefault="00FD10F6" w:rsidP="00AF3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8D5" w:rsidRDefault="00AF38D5">
    <w:pPr>
      <w:pStyle w:val="Zhlav"/>
    </w:pPr>
    <w:r>
      <w:rPr>
        <w:noProof/>
        <w:lang w:eastAsia="cs-CZ"/>
      </w:rPr>
      <w:drawing>
        <wp:inline distT="0" distB="0" distL="0" distR="0">
          <wp:extent cx="813365" cy="895350"/>
          <wp:effectExtent l="0" t="0" r="635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25" cy="89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</w:t>
    </w:r>
    <w:r>
      <w:rPr>
        <w:noProof/>
        <w:lang w:eastAsia="cs-CZ"/>
      </w:rPr>
      <w:drawing>
        <wp:inline distT="0" distB="0" distL="0" distR="0">
          <wp:extent cx="734209" cy="742950"/>
          <wp:effectExtent l="0" t="0" r="8890" b="0"/>
          <wp:docPr id="2" name="Obrázek 2" descr="C:\Users\NAKI_6\Desktop\NAKI\Propagace\logo PNB\logo NP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KI_6\Desktop\NAKI\Propagace\logo PNB\logo NPU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209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64E0"/>
    <w:multiLevelType w:val="hybridMultilevel"/>
    <w:tmpl w:val="2B5CE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A7882"/>
    <w:multiLevelType w:val="hybridMultilevel"/>
    <w:tmpl w:val="2A905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66DFC"/>
    <w:multiLevelType w:val="hybridMultilevel"/>
    <w:tmpl w:val="C85E5A30"/>
    <w:lvl w:ilvl="0" w:tplc="7E2CB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F38D5"/>
    <w:rsid w:val="00001221"/>
    <w:rsid w:val="000054B6"/>
    <w:rsid w:val="000058B5"/>
    <w:rsid w:val="000273FA"/>
    <w:rsid w:val="00035B95"/>
    <w:rsid w:val="00042E56"/>
    <w:rsid w:val="00056753"/>
    <w:rsid w:val="00070FAC"/>
    <w:rsid w:val="00071893"/>
    <w:rsid w:val="00087678"/>
    <w:rsid w:val="000B2AE7"/>
    <w:rsid w:val="000C26D5"/>
    <w:rsid w:val="000C37E8"/>
    <w:rsid w:val="001000A8"/>
    <w:rsid w:val="0010216C"/>
    <w:rsid w:val="0010620F"/>
    <w:rsid w:val="00114D21"/>
    <w:rsid w:val="001162FF"/>
    <w:rsid w:val="001230D8"/>
    <w:rsid w:val="00127995"/>
    <w:rsid w:val="0013033B"/>
    <w:rsid w:val="00171575"/>
    <w:rsid w:val="0018350E"/>
    <w:rsid w:val="00184485"/>
    <w:rsid w:val="001A1E67"/>
    <w:rsid w:val="001A6115"/>
    <w:rsid w:val="001B2A10"/>
    <w:rsid w:val="001C1738"/>
    <w:rsid w:val="001D6176"/>
    <w:rsid w:val="001F794F"/>
    <w:rsid w:val="00214A1D"/>
    <w:rsid w:val="00223BAC"/>
    <w:rsid w:val="00233074"/>
    <w:rsid w:val="00243255"/>
    <w:rsid w:val="00254C2D"/>
    <w:rsid w:val="00276C5A"/>
    <w:rsid w:val="00280E46"/>
    <w:rsid w:val="002B4DDC"/>
    <w:rsid w:val="002B54DA"/>
    <w:rsid w:val="002C2413"/>
    <w:rsid w:val="002D00FA"/>
    <w:rsid w:val="002E4668"/>
    <w:rsid w:val="00301BB8"/>
    <w:rsid w:val="00323683"/>
    <w:rsid w:val="00335E31"/>
    <w:rsid w:val="00360FE1"/>
    <w:rsid w:val="00361FBE"/>
    <w:rsid w:val="003658C7"/>
    <w:rsid w:val="00382FA0"/>
    <w:rsid w:val="00392F6F"/>
    <w:rsid w:val="0039423B"/>
    <w:rsid w:val="0039621F"/>
    <w:rsid w:val="003A5083"/>
    <w:rsid w:val="003B2B0E"/>
    <w:rsid w:val="00422617"/>
    <w:rsid w:val="00430E08"/>
    <w:rsid w:val="00452B42"/>
    <w:rsid w:val="00454945"/>
    <w:rsid w:val="00474134"/>
    <w:rsid w:val="004957C3"/>
    <w:rsid w:val="00501A0E"/>
    <w:rsid w:val="00532E8E"/>
    <w:rsid w:val="00560942"/>
    <w:rsid w:val="005627E5"/>
    <w:rsid w:val="0059414F"/>
    <w:rsid w:val="005C0FBB"/>
    <w:rsid w:val="005E3C52"/>
    <w:rsid w:val="00603654"/>
    <w:rsid w:val="00626946"/>
    <w:rsid w:val="00635F31"/>
    <w:rsid w:val="00636C6C"/>
    <w:rsid w:val="006A4645"/>
    <w:rsid w:val="006B608C"/>
    <w:rsid w:val="006C00E2"/>
    <w:rsid w:val="006C7B00"/>
    <w:rsid w:val="006D52E3"/>
    <w:rsid w:val="006F46F7"/>
    <w:rsid w:val="0070068D"/>
    <w:rsid w:val="00701326"/>
    <w:rsid w:val="00727FF0"/>
    <w:rsid w:val="00730108"/>
    <w:rsid w:val="00736D3C"/>
    <w:rsid w:val="0075111A"/>
    <w:rsid w:val="00757173"/>
    <w:rsid w:val="00773DF8"/>
    <w:rsid w:val="007753FA"/>
    <w:rsid w:val="007C3372"/>
    <w:rsid w:val="007D5513"/>
    <w:rsid w:val="00802E96"/>
    <w:rsid w:val="00820D18"/>
    <w:rsid w:val="00821410"/>
    <w:rsid w:val="008223C1"/>
    <w:rsid w:val="00846E0D"/>
    <w:rsid w:val="0085753A"/>
    <w:rsid w:val="00857CCB"/>
    <w:rsid w:val="00857E22"/>
    <w:rsid w:val="00865D53"/>
    <w:rsid w:val="00870178"/>
    <w:rsid w:val="00891E1F"/>
    <w:rsid w:val="008970E2"/>
    <w:rsid w:val="008A5E09"/>
    <w:rsid w:val="008C08B4"/>
    <w:rsid w:val="008E59A7"/>
    <w:rsid w:val="008F7765"/>
    <w:rsid w:val="00912021"/>
    <w:rsid w:val="00914E65"/>
    <w:rsid w:val="009226CB"/>
    <w:rsid w:val="0095407D"/>
    <w:rsid w:val="009747D2"/>
    <w:rsid w:val="0098471D"/>
    <w:rsid w:val="00986BEA"/>
    <w:rsid w:val="00993E05"/>
    <w:rsid w:val="009E1CED"/>
    <w:rsid w:val="009F29B4"/>
    <w:rsid w:val="00A2162F"/>
    <w:rsid w:val="00A603E3"/>
    <w:rsid w:val="00A610F4"/>
    <w:rsid w:val="00A80878"/>
    <w:rsid w:val="00AB045A"/>
    <w:rsid w:val="00AC36DF"/>
    <w:rsid w:val="00AF38D5"/>
    <w:rsid w:val="00B2484E"/>
    <w:rsid w:val="00B369C3"/>
    <w:rsid w:val="00B83545"/>
    <w:rsid w:val="00B95526"/>
    <w:rsid w:val="00BB7027"/>
    <w:rsid w:val="00BD1A34"/>
    <w:rsid w:val="00BD5FA5"/>
    <w:rsid w:val="00BE73CE"/>
    <w:rsid w:val="00BF4821"/>
    <w:rsid w:val="00C31EBD"/>
    <w:rsid w:val="00C34B8A"/>
    <w:rsid w:val="00C43A2C"/>
    <w:rsid w:val="00C50580"/>
    <w:rsid w:val="00C90C25"/>
    <w:rsid w:val="00C911AA"/>
    <w:rsid w:val="00C9361E"/>
    <w:rsid w:val="00C9673C"/>
    <w:rsid w:val="00C97F67"/>
    <w:rsid w:val="00CA752E"/>
    <w:rsid w:val="00CD349B"/>
    <w:rsid w:val="00CE1779"/>
    <w:rsid w:val="00D1034F"/>
    <w:rsid w:val="00D13653"/>
    <w:rsid w:val="00D252A8"/>
    <w:rsid w:val="00D35BA3"/>
    <w:rsid w:val="00D55F7B"/>
    <w:rsid w:val="00D56654"/>
    <w:rsid w:val="00D67E6F"/>
    <w:rsid w:val="00D80191"/>
    <w:rsid w:val="00D83C2D"/>
    <w:rsid w:val="00DA35EA"/>
    <w:rsid w:val="00DC65EC"/>
    <w:rsid w:val="00DD14D6"/>
    <w:rsid w:val="00DF5D85"/>
    <w:rsid w:val="00E14395"/>
    <w:rsid w:val="00E175F8"/>
    <w:rsid w:val="00E35107"/>
    <w:rsid w:val="00E56AE1"/>
    <w:rsid w:val="00E80F83"/>
    <w:rsid w:val="00E839C6"/>
    <w:rsid w:val="00E90047"/>
    <w:rsid w:val="00E97E32"/>
    <w:rsid w:val="00EA1C20"/>
    <w:rsid w:val="00EB51B0"/>
    <w:rsid w:val="00EC20B9"/>
    <w:rsid w:val="00ED0D54"/>
    <w:rsid w:val="00ED3988"/>
    <w:rsid w:val="00F316B2"/>
    <w:rsid w:val="00F406F8"/>
    <w:rsid w:val="00F51662"/>
    <w:rsid w:val="00F53153"/>
    <w:rsid w:val="00F90477"/>
    <w:rsid w:val="00F94AA0"/>
    <w:rsid w:val="00F94FC9"/>
    <w:rsid w:val="00F96C7F"/>
    <w:rsid w:val="00FA4ACC"/>
    <w:rsid w:val="00FA7E08"/>
    <w:rsid w:val="00FB1E0D"/>
    <w:rsid w:val="00FC2D9E"/>
    <w:rsid w:val="00FD1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36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3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8D5"/>
  </w:style>
  <w:style w:type="paragraph" w:styleId="Zpat">
    <w:name w:val="footer"/>
    <w:basedOn w:val="Normln"/>
    <w:link w:val="ZpatChar"/>
    <w:uiPriority w:val="99"/>
    <w:unhideWhenUsed/>
    <w:rsid w:val="00AF3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38D5"/>
  </w:style>
  <w:style w:type="paragraph" w:styleId="Textbubliny">
    <w:name w:val="Balloon Text"/>
    <w:basedOn w:val="Normln"/>
    <w:link w:val="TextbublinyChar"/>
    <w:uiPriority w:val="99"/>
    <w:semiHidden/>
    <w:unhideWhenUsed/>
    <w:rsid w:val="00AF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8D5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rsid w:val="00474134"/>
    <w:pPr>
      <w:spacing w:after="0" w:line="240" w:lineRule="auto"/>
      <w:jc w:val="both"/>
    </w:pPr>
    <w:rPr>
      <w:rFonts w:ascii="Calibri" w:eastAsia="Calibri" w:hAnsi="Calibri" w:cs="Times New Roman"/>
      <w:szCs w:val="18"/>
    </w:rPr>
  </w:style>
  <w:style w:type="character" w:customStyle="1" w:styleId="adresaChar">
    <w:name w:val="adresa Char"/>
    <w:basedOn w:val="Standardnpsmoodstavce"/>
    <w:link w:val="adresa"/>
    <w:locked/>
    <w:rsid w:val="00474134"/>
    <w:rPr>
      <w:rFonts w:ascii="Calibri" w:eastAsia="Calibri" w:hAnsi="Calibri" w:cs="Times New Roman"/>
      <w:szCs w:val="18"/>
    </w:rPr>
  </w:style>
  <w:style w:type="paragraph" w:customStyle="1" w:styleId="Style1">
    <w:name w:val="Style1"/>
    <w:basedOn w:val="Normln"/>
    <w:rsid w:val="00474134"/>
    <w:pPr>
      <w:spacing w:after="0" w:line="240" w:lineRule="auto"/>
      <w:jc w:val="both"/>
    </w:pPr>
    <w:rPr>
      <w:rFonts w:ascii="Arial" w:eastAsia="Times New Roman" w:hAnsi="Arial" w:cs="Arial"/>
      <w:color w:val="575757"/>
      <w:sz w:val="16"/>
      <w:szCs w:val="16"/>
    </w:rPr>
  </w:style>
  <w:style w:type="character" w:styleId="slostrnky">
    <w:name w:val="page number"/>
    <w:basedOn w:val="Standardnpsmoodstavce"/>
    <w:rsid w:val="00474134"/>
    <w:rPr>
      <w:rFonts w:ascii="Calibri" w:hAnsi="Calibri"/>
      <w:sz w:val="22"/>
    </w:rPr>
  </w:style>
  <w:style w:type="character" w:styleId="Hypertextovodkaz">
    <w:name w:val="Hyperlink"/>
    <w:basedOn w:val="Standardnpsmoodstavce"/>
    <w:unhideWhenUsed/>
    <w:rsid w:val="00560942"/>
    <w:rPr>
      <w:rFonts w:ascii="Times New Roman" w:hAnsi="Times New Roman" w:cs="Times New Roman" w:hint="default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14395"/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rsid w:val="006C7B00"/>
    <w:pPr>
      <w:spacing w:after="12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7B00"/>
    <w:rPr>
      <w:rFonts w:ascii="Calibri" w:eastAsia="Calibri" w:hAnsi="Calibri" w:cs="Calibr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35F31"/>
    <w:pPr>
      <w:ind w:left="720"/>
      <w:contextualSpacing/>
    </w:pPr>
  </w:style>
  <w:style w:type="paragraph" w:customStyle="1" w:styleId="bgcolor">
    <w:name w:val="bgcolor"/>
    <w:basedOn w:val="Normln"/>
    <w:uiPriority w:val="99"/>
    <w:rsid w:val="00562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smaller">
    <w:name w:val="textsmaller"/>
    <w:rsid w:val="005627E5"/>
    <w:rPr>
      <w:rFonts w:ascii="Times New Roman" w:hAnsi="Times New Roman" w:cs="Times New Roman" w:hint="default"/>
    </w:rPr>
  </w:style>
  <w:style w:type="paragraph" w:styleId="Normlnweb">
    <w:name w:val="Normal (Web)"/>
    <w:basedOn w:val="Normln"/>
    <w:uiPriority w:val="99"/>
    <w:unhideWhenUsed/>
    <w:rsid w:val="00B369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rosttext1">
    <w:name w:val="Prostý text1"/>
    <w:basedOn w:val="Normln"/>
    <w:uiPriority w:val="99"/>
    <w:rsid w:val="001C1738"/>
    <w:pPr>
      <w:suppressAutoHyphens/>
      <w:spacing w:after="0" w:line="240" w:lineRule="auto"/>
    </w:pPr>
    <w:rPr>
      <w:rFonts w:ascii="Verdana" w:eastAsia="Times New Roman" w:hAnsi="Verdana" w:cs="Times New Roman"/>
      <w:sz w:val="18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NAKI_6</dc:creator>
  <cp:lastModifiedBy>Ludmila Kučerová</cp:lastModifiedBy>
  <cp:revision>2</cp:revision>
  <cp:lastPrinted>2015-10-02T09:10:00Z</cp:lastPrinted>
  <dcterms:created xsi:type="dcterms:W3CDTF">2015-10-05T08:06:00Z</dcterms:created>
  <dcterms:modified xsi:type="dcterms:W3CDTF">2015-10-05T08:06:00Z</dcterms:modified>
</cp:coreProperties>
</file>