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0D" w:rsidRDefault="002A4F0D" w:rsidP="002A4F0D">
      <w:pPr>
        <w:tabs>
          <w:tab w:val="left" w:pos="5970"/>
        </w:tabs>
        <w:autoSpaceDE w:val="0"/>
        <w:autoSpaceDN w:val="0"/>
        <w:adjustRightInd w:val="0"/>
        <w:spacing w:after="120"/>
        <w:rPr>
          <w:rFonts w:ascii="Arial-BoldMT" w:hAnsi="Arial-BoldMT"/>
          <w:b/>
          <w:bCs/>
          <w:color w:val="7F7F7F"/>
          <w:sz w:val="34"/>
          <w:szCs w:val="32"/>
        </w:rPr>
      </w:pPr>
      <w:r>
        <w:rPr>
          <w:rFonts w:ascii="Arial-BoldMT" w:hAnsi="Arial-BoldMT"/>
          <w:b/>
          <w:bCs/>
          <w:color w:val="7F7F7F"/>
          <w:sz w:val="34"/>
          <w:szCs w:val="32"/>
        </w:rPr>
        <w:tab/>
      </w:r>
    </w:p>
    <w:p w:rsidR="002A4F0D" w:rsidRDefault="002A4F0D" w:rsidP="002A4F0D">
      <w:pPr>
        <w:autoSpaceDE w:val="0"/>
        <w:autoSpaceDN w:val="0"/>
        <w:adjustRightInd w:val="0"/>
        <w:spacing w:after="120"/>
        <w:rPr>
          <w:rFonts w:ascii="Arial-BoldMT" w:hAnsi="Arial-BoldMT"/>
          <w:b/>
          <w:bCs/>
          <w:color w:val="7F7F7F"/>
          <w:sz w:val="12"/>
          <w:szCs w:val="32"/>
        </w:rPr>
      </w:pPr>
    </w:p>
    <w:p w:rsidR="002A4F0D" w:rsidRDefault="002A4F0D" w:rsidP="002A4F0D">
      <w:pPr>
        <w:autoSpaceDE w:val="0"/>
        <w:autoSpaceDN w:val="0"/>
        <w:adjustRightInd w:val="0"/>
        <w:spacing w:after="120"/>
        <w:rPr>
          <w:rFonts w:ascii="Arial-BoldMT" w:hAnsi="Arial-BoldMT"/>
          <w:b/>
          <w:bCs/>
          <w:color w:val="999999"/>
          <w:sz w:val="32"/>
          <w:szCs w:val="32"/>
        </w:rPr>
      </w:pPr>
      <w:r>
        <w:rPr>
          <w:rFonts w:ascii="Arial-BoldMT" w:hAnsi="Arial-BoldMT"/>
          <w:b/>
          <w:bCs/>
          <w:color w:val="999999"/>
          <w:sz w:val="34"/>
          <w:szCs w:val="32"/>
        </w:rPr>
        <w:t>TISKOVÁ ZPRÁVA</w:t>
      </w:r>
      <w:r>
        <w:rPr>
          <w:rFonts w:ascii="Arial-BoldMT" w:hAnsi="Arial-BoldMT"/>
          <w:b/>
          <w:bCs/>
          <w:color w:val="999999"/>
          <w:sz w:val="32"/>
          <w:szCs w:val="32"/>
        </w:rPr>
        <w:t xml:space="preserve"> </w:t>
      </w:r>
    </w:p>
    <w:p w:rsidR="002A4F0D" w:rsidRDefault="002A4F0D" w:rsidP="002A4F0D">
      <w:pPr>
        <w:autoSpaceDE w:val="0"/>
        <w:autoSpaceDN w:val="0"/>
        <w:adjustRightInd w:val="0"/>
        <w:spacing w:after="120"/>
        <w:rPr>
          <w:rFonts w:ascii="Arial" w:hAnsi="Arial" w:cs="Arial"/>
          <w:color w:val="808080"/>
          <w:sz w:val="34"/>
          <w:szCs w:val="20"/>
        </w:rPr>
      </w:pPr>
      <w:bookmarkStart w:id="0" w:name="OLE_LINK3"/>
      <w:r>
        <w:rPr>
          <w:rFonts w:ascii="Arial" w:hAnsi="Arial" w:cs="Arial"/>
          <w:b/>
          <w:bCs/>
          <w:color w:val="999999"/>
          <w:sz w:val="34"/>
          <w:szCs w:val="32"/>
        </w:rPr>
        <w:t>P</w:t>
      </w:r>
      <w:r>
        <w:rPr>
          <w:rFonts w:ascii="Arial" w:hAnsi="Arial" w:cs="Arial"/>
          <w:b/>
          <w:bCs/>
          <w:color w:val="999999"/>
          <w:sz w:val="34"/>
          <w:szCs w:val="32"/>
        </w:rPr>
        <w:t>amátky</w:t>
      </w:r>
      <w:r>
        <w:rPr>
          <w:rFonts w:ascii="Arial" w:hAnsi="Arial" w:cs="Arial"/>
          <w:b/>
          <w:bCs/>
          <w:color w:val="999999"/>
          <w:sz w:val="34"/>
          <w:szCs w:val="32"/>
        </w:rPr>
        <w:t xml:space="preserve"> na Vysočině</w:t>
      </w:r>
      <w:r>
        <w:rPr>
          <w:rFonts w:ascii="Arial" w:hAnsi="Arial" w:cs="Arial"/>
          <w:b/>
          <w:bCs/>
          <w:color w:val="999999"/>
          <w:sz w:val="34"/>
          <w:szCs w:val="32"/>
        </w:rPr>
        <w:t xml:space="preserve"> přilákaly k návštěvě více turistů</w:t>
      </w:r>
    </w:p>
    <w:p w:rsidR="002A4F0D" w:rsidRDefault="002A4F0D" w:rsidP="002A4F0D">
      <w:pPr>
        <w:pStyle w:val="Nadpis3"/>
        <w:rPr>
          <w:rFonts w:ascii="Arial" w:hAnsi="Arial" w:cs="Arial"/>
          <w:color w:val="auto"/>
          <w:sz w:val="20"/>
        </w:rPr>
      </w:pPr>
      <w:r>
        <w:rPr>
          <w:rFonts w:ascii="Arial" w:hAnsi="Arial" w:cs="Arial"/>
          <w:color w:val="auto"/>
          <w:sz w:val="22"/>
        </w:rPr>
        <w:t>České Budějovice 5</w:t>
      </w:r>
      <w:r>
        <w:rPr>
          <w:rFonts w:ascii="Arial" w:hAnsi="Arial" w:cs="Arial"/>
          <w:color w:val="auto"/>
          <w:sz w:val="22"/>
        </w:rPr>
        <w:t>. 8. 2014</w:t>
      </w:r>
    </w:p>
    <w:bookmarkEnd w:id="0"/>
    <w:p w:rsidR="002A4F0D" w:rsidRDefault="002A4F0D" w:rsidP="002A4F0D">
      <w:pPr>
        <w:rPr>
          <w:rFonts w:ascii="Arial" w:hAnsi="Arial" w:cs="Arial"/>
          <w:b/>
          <w:bCs/>
          <w:sz w:val="20"/>
          <w:szCs w:val="28"/>
        </w:rPr>
      </w:pPr>
      <w:r>
        <w:rPr>
          <w:rFonts w:ascii="Arial" w:hAnsi="Arial" w:cs="Arial"/>
          <w:b/>
          <w:bCs/>
          <w:sz w:val="20"/>
          <w:szCs w:val="28"/>
        </w:rPr>
        <w:t>P</w:t>
      </w:r>
      <w:r>
        <w:rPr>
          <w:rFonts w:ascii="Arial" w:hAnsi="Arial" w:cs="Arial"/>
          <w:b/>
          <w:bCs/>
          <w:sz w:val="20"/>
          <w:szCs w:val="28"/>
        </w:rPr>
        <w:t>amátkové objekty</w:t>
      </w:r>
      <w:r>
        <w:rPr>
          <w:rFonts w:ascii="Arial" w:hAnsi="Arial" w:cs="Arial"/>
          <w:b/>
          <w:bCs/>
          <w:sz w:val="20"/>
          <w:szCs w:val="28"/>
        </w:rPr>
        <w:t xml:space="preserve"> na Vysočině</w:t>
      </w:r>
      <w:r>
        <w:rPr>
          <w:rFonts w:ascii="Arial" w:hAnsi="Arial" w:cs="Arial"/>
          <w:b/>
          <w:bCs/>
          <w:sz w:val="20"/>
          <w:szCs w:val="28"/>
        </w:rPr>
        <w:t xml:space="preserve"> spravované Národním památkovým ústavem, územní památkovou správou v Českých Budějovicích navštívilo až doposud </w:t>
      </w:r>
      <w:r w:rsidRPr="002A4F0D">
        <w:rPr>
          <w:rFonts w:ascii="Arial" w:hAnsi="Arial" w:cs="Arial"/>
          <w:b/>
          <w:bCs/>
          <w:sz w:val="20"/>
          <w:szCs w:val="28"/>
        </w:rPr>
        <w:t>109 239 lidí, což je o téměř tisícovku lidí více než v loňském roce</w:t>
      </w:r>
      <w:r>
        <w:rPr>
          <w:rFonts w:ascii="Arial" w:hAnsi="Arial" w:cs="Arial"/>
          <w:b/>
          <w:bCs/>
          <w:sz w:val="20"/>
          <w:szCs w:val="28"/>
        </w:rPr>
        <w:t xml:space="preserve">. </w:t>
      </w:r>
      <w:r>
        <w:rPr>
          <w:rFonts w:ascii="Arial" w:hAnsi="Arial" w:cs="Arial"/>
          <w:b/>
          <w:bCs/>
          <w:sz w:val="20"/>
          <w:szCs w:val="28"/>
        </w:rPr>
        <w:t>Největší nárůst turistů</w:t>
      </w:r>
      <w:r w:rsidR="00687691">
        <w:rPr>
          <w:rFonts w:ascii="Arial" w:hAnsi="Arial" w:cs="Arial"/>
          <w:b/>
          <w:bCs/>
          <w:sz w:val="20"/>
          <w:szCs w:val="28"/>
        </w:rPr>
        <w:t xml:space="preserve"> oproti roku 2013</w:t>
      </w:r>
      <w:r>
        <w:rPr>
          <w:rFonts w:ascii="Arial" w:hAnsi="Arial" w:cs="Arial"/>
          <w:b/>
          <w:bCs/>
          <w:sz w:val="20"/>
          <w:szCs w:val="28"/>
        </w:rPr>
        <w:t xml:space="preserve"> zaznamenal areál poutního kostela sv. Jana Nepomuckého na Zelené hoře a hrad Lipnice nad Sázavou.</w:t>
      </w:r>
    </w:p>
    <w:p w:rsidR="002A4F0D" w:rsidRDefault="002A4F0D" w:rsidP="002A4F0D">
      <w:pPr>
        <w:rPr>
          <w:rFonts w:ascii="Arial" w:hAnsi="Arial" w:cs="Arial"/>
          <w:b/>
          <w:bCs/>
          <w:sz w:val="20"/>
          <w:szCs w:val="28"/>
        </w:rPr>
      </w:pPr>
    </w:p>
    <w:p w:rsidR="002A4F0D" w:rsidRDefault="002A4F0D" w:rsidP="002A4F0D">
      <w:pPr>
        <w:spacing w:after="120"/>
        <w:rPr>
          <w:rFonts w:ascii="Arial" w:hAnsi="Arial" w:cs="Arial"/>
          <w:bCs/>
          <w:sz w:val="20"/>
          <w:szCs w:val="28"/>
        </w:rPr>
      </w:pPr>
      <w:r>
        <w:rPr>
          <w:rFonts w:ascii="Arial" w:hAnsi="Arial" w:cs="Arial"/>
          <w:bCs/>
          <w:sz w:val="20"/>
          <w:szCs w:val="28"/>
        </w:rPr>
        <w:t>Zvýšený zájem turistů</w:t>
      </w:r>
      <w:r w:rsidR="004F7605">
        <w:rPr>
          <w:rFonts w:ascii="Arial" w:hAnsi="Arial" w:cs="Arial"/>
          <w:bCs/>
          <w:sz w:val="20"/>
          <w:szCs w:val="28"/>
        </w:rPr>
        <w:t xml:space="preserve"> </w:t>
      </w:r>
      <w:r>
        <w:rPr>
          <w:rFonts w:ascii="Arial" w:hAnsi="Arial" w:cs="Arial"/>
          <w:bCs/>
          <w:sz w:val="20"/>
          <w:szCs w:val="28"/>
        </w:rPr>
        <w:t>o památky UNESCO dokládá i dosavadní návštěvnost poutního kostela sv. Jana Nepomuckého na Zelené hoře.</w:t>
      </w:r>
      <w:r w:rsidR="004F7605">
        <w:rPr>
          <w:rFonts w:ascii="Arial" w:hAnsi="Arial" w:cs="Arial"/>
          <w:bCs/>
          <w:sz w:val="20"/>
          <w:szCs w:val="28"/>
        </w:rPr>
        <w:t xml:space="preserve"> Tento klenot barokní gotiky z dílny architekta Jana Blažeje Santiniho Aichela navštívilo do konce července</w:t>
      </w:r>
      <w:r w:rsidR="00B77A9B">
        <w:rPr>
          <w:rFonts w:ascii="Arial" w:hAnsi="Arial" w:cs="Arial"/>
          <w:bCs/>
          <w:sz w:val="20"/>
          <w:szCs w:val="28"/>
        </w:rPr>
        <w:t xml:space="preserve"> 2014</w:t>
      </w:r>
      <w:r w:rsidR="004F7605">
        <w:rPr>
          <w:rFonts w:ascii="Arial" w:hAnsi="Arial" w:cs="Arial"/>
          <w:bCs/>
          <w:sz w:val="20"/>
          <w:szCs w:val="28"/>
        </w:rPr>
        <w:t xml:space="preserve"> více než 17 tisíc návštěvníků, což je o 34 procent více než vloni. Svůj podíl</w:t>
      </w:r>
      <w:r w:rsidR="000F609E">
        <w:rPr>
          <w:rFonts w:ascii="Arial" w:hAnsi="Arial" w:cs="Arial"/>
          <w:bCs/>
          <w:sz w:val="20"/>
          <w:szCs w:val="28"/>
        </w:rPr>
        <w:t xml:space="preserve"> na větší popularitě památky</w:t>
      </w:r>
      <w:bookmarkStart w:id="1" w:name="_GoBack"/>
      <w:bookmarkEnd w:id="1"/>
      <w:r w:rsidR="004F7605">
        <w:rPr>
          <w:rFonts w:ascii="Arial" w:hAnsi="Arial" w:cs="Arial"/>
          <w:bCs/>
          <w:sz w:val="20"/>
          <w:szCs w:val="28"/>
        </w:rPr>
        <w:t xml:space="preserve"> zřejmě sehrála i medializace spojená s problematikou církevních restitucí.</w:t>
      </w:r>
    </w:p>
    <w:p w:rsidR="004F7605" w:rsidRDefault="004F7605" w:rsidP="002A4F0D">
      <w:pPr>
        <w:spacing w:after="120"/>
        <w:rPr>
          <w:rFonts w:ascii="Arial" w:hAnsi="Arial" w:cs="Arial"/>
          <w:bCs/>
          <w:sz w:val="20"/>
          <w:szCs w:val="28"/>
        </w:rPr>
      </w:pPr>
      <w:r>
        <w:rPr>
          <w:rFonts w:ascii="Arial" w:hAnsi="Arial" w:cs="Arial"/>
          <w:bCs/>
          <w:sz w:val="20"/>
          <w:szCs w:val="28"/>
        </w:rPr>
        <w:t>Také na hrad Lipnice dorazilo oproti loňsku více lidí</w:t>
      </w:r>
      <w:r w:rsidR="00687691">
        <w:rPr>
          <w:rFonts w:ascii="Arial" w:hAnsi="Arial" w:cs="Arial"/>
          <w:bCs/>
          <w:sz w:val="20"/>
          <w:szCs w:val="28"/>
        </w:rPr>
        <w:t>, a to o zhruba 20 procent</w:t>
      </w:r>
      <w:r>
        <w:rPr>
          <w:rFonts w:ascii="Arial" w:hAnsi="Arial" w:cs="Arial"/>
          <w:bCs/>
          <w:sz w:val="20"/>
          <w:szCs w:val="28"/>
        </w:rPr>
        <w:t xml:space="preserve">. </w:t>
      </w:r>
      <w:r w:rsidR="00687691">
        <w:rPr>
          <w:rFonts w:ascii="Arial" w:hAnsi="Arial" w:cs="Arial"/>
          <w:bCs/>
          <w:sz w:val="20"/>
          <w:szCs w:val="28"/>
        </w:rPr>
        <w:t>„</w:t>
      </w:r>
      <w:r>
        <w:rPr>
          <w:rFonts w:ascii="Arial" w:hAnsi="Arial" w:cs="Arial"/>
          <w:bCs/>
          <w:sz w:val="20"/>
          <w:szCs w:val="28"/>
        </w:rPr>
        <w:t>Důvodem bylo</w:t>
      </w:r>
      <w:r w:rsidR="00687691">
        <w:rPr>
          <w:rFonts w:ascii="Arial" w:hAnsi="Arial" w:cs="Arial"/>
          <w:bCs/>
          <w:sz w:val="20"/>
          <w:szCs w:val="28"/>
        </w:rPr>
        <w:t xml:space="preserve"> </w:t>
      </w:r>
      <w:r>
        <w:rPr>
          <w:rFonts w:ascii="Arial" w:hAnsi="Arial" w:cs="Arial"/>
          <w:bCs/>
          <w:sz w:val="20"/>
          <w:szCs w:val="28"/>
        </w:rPr>
        <w:t>mírné a vlídné počasí na počátku jarních měsíců</w:t>
      </w:r>
      <w:r w:rsidR="00687691">
        <w:rPr>
          <w:rFonts w:ascii="Arial" w:hAnsi="Arial" w:cs="Arial"/>
          <w:bCs/>
          <w:sz w:val="20"/>
          <w:szCs w:val="28"/>
        </w:rPr>
        <w:t xml:space="preserve">, které nám umožnily zpřístupnit některé památkové objekty v předstihu. To nahrálo turistům, kteří si jako svůj cíl s oblibou vybírají právě hradní zříceniny,“ podotýká </w:t>
      </w:r>
      <w:r w:rsidR="00687691">
        <w:rPr>
          <w:rFonts w:ascii="Arial" w:hAnsi="Arial" w:cs="Arial"/>
          <w:bCs/>
          <w:sz w:val="20"/>
          <w:szCs w:val="28"/>
        </w:rPr>
        <w:t>Petr Pavelec, ředitel českobudějovické územní památkové správy NPÚ.</w:t>
      </w:r>
    </w:p>
    <w:p w:rsidR="00687691" w:rsidRDefault="00687691" w:rsidP="002A4F0D">
      <w:pPr>
        <w:spacing w:after="120"/>
        <w:rPr>
          <w:rFonts w:ascii="Arial" w:hAnsi="Arial" w:cs="Arial"/>
          <w:bCs/>
          <w:sz w:val="20"/>
          <w:szCs w:val="28"/>
        </w:rPr>
      </w:pPr>
      <w:r>
        <w:rPr>
          <w:rFonts w:ascii="Arial" w:hAnsi="Arial" w:cs="Arial"/>
          <w:bCs/>
          <w:sz w:val="20"/>
          <w:szCs w:val="28"/>
        </w:rPr>
        <w:t>Nejnavštěvovanější památkou v kraji zůstává zámek Telč. Po Zelené hoře se na třetí příčce pomyslného žebříčku návštěvnosti umístil zámek v Jaroměřicích nad Rokytnou, kde je návštěvnost srovnatelná s loňským rokem.</w:t>
      </w:r>
      <w:r w:rsidR="00BA6F12">
        <w:rPr>
          <w:rFonts w:ascii="Arial" w:hAnsi="Arial" w:cs="Arial"/>
          <w:bCs/>
          <w:sz w:val="20"/>
          <w:szCs w:val="28"/>
        </w:rPr>
        <w:t xml:space="preserve"> Také zámek v Náměšti nad Oslavou navštívilo doposud téměř osm tisíc turistů jako vloni.</w:t>
      </w:r>
    </w:p>
    <w:p w:rsidR="002A4F0D" w:rsidRDefault="002A4F0D" w:rsidP="002A4F0D">
      <w:pPr>
        <w:spacing w:after="120"/>
        <w:rPr>
          <w:rFonts w:ascii="Arial" w:hAnsi="Arial" w:cs="Arial"/>
          <w:bCs/>
          <w:sz w:val="20"/>
          <w:szCs w:val="28"/>
        </w:rPr>
      </w:pPr>
      <w:r>
        <w:rPr>
          <w:rFonts w:ascii="Arial" w:hAnsi="Arial" w:cs="Arial"/>
          <w:bCs/>
          <w:sz w:val="20"/>
          <w:szCs w:val="28"/>
        </w:rPr>
        <w:t>Památkové objekty lákají k návštěvě nejen klasických prohlídkových tras, ale každoročně chystají desítky dalších kulturních akcí. V nabídce samozřejmě nechybí oblíbené noční či k</w:t>
      </w:r>
      <w:r w:rsidR="00BA6F12">
        <w:rPr>
          <w:rFonts w:ascii="Arial" w:hAnsi="Arial" w:cs="Arial"/>
          <w:bCs/>
          <w:sz w:val="20"/>
          <w:szCs w:val="28"/>
        </w:rPr>
        <w:t xml:space="preserve">ostýmované prohlídky, hudební </w:t>
      </w:r>
      <w:r>
        <w:rPr>
          <w:rFonts w:ascii="Arial" w:hAnsi="Arial" w:cs="Arial"/>
          <w:bCs/>
          <w:sz w:val="20"/>
          <w:szCs w:val="28"/>
        </w:rPr>
        <w:t>festivaly, výstavy, koncerty</w:t>
      </w:r>
      <w:r w:rsidR="00BA6F12">
        <w:rPr>
          <w:rFonts w:ascii="Arial" w:hAnsi="Arial" w:cs="Arial"/>
          <w:bCs/>
          <w:sz w:val="20"/>
          <w:szCs w:val="28"/>
        </w:rPr>
        <w:t xml:space="preserve"> či</w:t>
      </w:r>
      <w:r>
        <w:rPr>
          <w:rFonts w:ascii="Arial" w:hAnsi="Arial" w:cs="Arial"/>
          <w:bCs/>
          <w:sz w:val="20"/>
          <w:szCs w:val="28"/>
        </w:rPr>
        <w:t xml:space="preserve"> šermířská vystoupení</w:t>
      </w:r>
      <w:r w:rsidR="00BA6F12">
        <w:rPr>
          <w:rFonts w:ascii="Arial" w:hAnsi="Arial" w:cs="Arial"/>
          <w:bCs/>
          <w:sz w:val="20"/>
          <w:szCs w:val="28"/>
        </w:rPr>
        <w:t>.</w:t>
      </w:r>
      <w:r>
        <w:rPr>
          <w:rFonts w:ascii="Arial" w:hAnsi="Arial" w:cs="Arial"/>
          <w:bCs/>
          <w:sz w:val="20"/>
          <w:szCs w:val="28"/>
        </w:rPr>
        <w:t xml:space="preserve"> Také v srpnu se mohou návštěvníci těšit na zajímavé kulturní akce. Jejich vyvrcholením bude </w:t>
      </w:r>
      <w:r w:rsidRPr="00DC7469">
        <w:rPr>
          <w:rFonts w:ascii="Arial" w:hAnsi="Arial" w:cs="Arial"/>
          <w:b/>
          <w:bCs/>
          <w:sz w:val="20"/>
          <w:szCs w:val="28"/>
        </w:rPr>
        <w:t>Hradozámecká noc</w:t>
      </w:r>
      <w:r>
        <w:rPr>
          <w:rFonts w:ascii="Arial" w:hAnsi="Arial" w:cs="Arial"/>
          <w:bCs/>
          <w:sz w:val="20"/>
          <w:szCs w:val="28"/>
        </w:rPr>
        <w:t xml:space="preserve">, která se uskuteční </w:t>
      </w:r>
      <w:r w:rsidRPr="00DC7469">
        <w:rPr>
          <w:rFonts w:ascii="Arial" w:hAnsi="Arial" w:cs="Arial"/>
          <w:b/>
          <w:bCs/>
          <w:sz w:val="20"/>
          <w:szCs w:val="28"/>
        </w:rPr>
        <w:t>v sobotu 30. srpna 2014</w:t>
      </w:r>
      <w:r>
        <w:rPr>
          <w:rFonts w:ascii="Arial" w:hAnsi="Arial" w:cs="Arial"/>
          <w:bCs/>
          <w:sz w:val="20"/>
          <w:szCs w:val="28"/>
        </w:rPr>
        <w:t xml:space="preserve">. V noci se tak otevře více než 70 státních i nestátních památek po celé republice, </w:t>
      </w:r>
      <w:r w:rsidR="00BA6F12">
        <w:rPr>
          <w:rFonts w:ascii="Arial" w:hAnsi="Arial" w:cs="Arial"/>
          <w:bCs/>
          <w:sz w:val="20"/>
          <w:szCs w:val="28"/>
        </w:rPr>
        <w:t>na Vysočině se zapojí zámek v Náměšti nad Oslavou</w:t>
      </w:r>
      <w:r>
        <w:rPr>
          <w:rFonts w:ascii="Arial" w:hAnsi="Arial" w:cs="Arial"/>
          <w:bCs/>
          <w:sz w:val="20"/>
          <w:szCs w:val="28"/>
        </w:rPr>
        <w:t>.</w:t>
      </w:r>
    </w:p>
    <w:p w:rsidR="002A4F0D" w:rsidRDefault="002A4F0D" w:rsidP="002A4F0D">
      <w:pPr>
        <w:spacing w:after="120"/>
        <w:rPr>
          <w:rFonts w:ascii="Arial" w:hAnsi="Arial" w:cs="Arial"/>
          <w:bCs/>
          <w:sz w:val="20"/>
          <w:szCs w:val="28"/>
        </w:rPr>
      </w:pPr>
    </w:p>
    <w:p w:rsidR="002A4F0D" w:rsidRDefault="002A4F0D" w:rsidP="002A4F0D">
      <w:pPr>
        <w:spacing w:after="120"/>
        <w:rPr>
          <w:rFonts w:ascii="Arial" w:hAnsi="Arial" w:cs="Arial"/>
          <w:bCs/>
          <w:sz w:val="20"/>
          <w:szCs w:val="28"/>
        </w:rPr>
      </w:pPr>
      <w:r>
        <w:rPr>
          <w:rFonts w:ascii="Arial" w:hAnsi="Arial" w:cs="Arial"/>
          <w:bCs/>
          <w:sz w:val="20"/>
          <w:szCs w:val="28"/>
        </w:rPr>
        <w:t>Souhrnná tabulka s přehledem návštěvnosti od ledna do července 2014 a 2013 – viz Příloha č. 1.</w:t>
      </w:r>
    </w:p>
    <w:p w:rsidR="002A4F0D" w:rsidRPr="00AF55E6" w:rsidRDefault="002A4F0D" w:rsidP="002A4F0D">
      <w:pPr>
        <w:spacing w:after="120"/>
        <w:rPr>
          <w:rFonts w:ascii="Arial" w:hAnsi="Arial" w:cs="Arial"/>
          <w:bCs/>
          <w:sz w:val="20"/>
          <w:szCs w:val="28"/>
        </w:rPr>
      </w:pPr>
    </w:p>
    <w:p w:rsidR="002A4F0D" w:rsidRDefault="002A4F0D" w:rsidP="002A4F0D">
      <w:pPr>
        <w:pStyle w:val="Zkladntextodsazen"/>
        <w:autoSpaceDE/>
        <w:autoSpaceDN/>
        <w:adjustRightInd/>
        <w:spacing w:after="120" w:line="240" w:lineRule="auto"/>
        <w:ind w:firstLine="0"/>
        <w:jc w:val="center"/>
        <w:rPr>
          <w:szCs w:val="18"/>
        </w:rPr>
      </w:pPr>
      <w:r>
        <w:rPr>
          <w:szCs w:val="18"/>
        </w:rPr>
        <w:t>***</w:t>
      </w:r>
    </w:p>
    <w:p w:rsidR="002A4F0D" w:rsidRDefault="002A4F0D" w:rsidP="002A4F0D">
      <w:pPr>
        <w:pStyle w:val="Prosttext"/>
        <w:rPr>
          <w:rFonts w:ascii="Arial" w:hAnsi="Arial" w:cs="Arial"/>
          <w:b/>
          <w:i/>
          <w:sz w:val="20"/>
          <w:szCs w:val="20"/>
        </w:rPr>
      </w:pPr>
      <w:r>
        <w:rPr>
          <w:rFonts w:ascii="Arial" w:hAnsi="Arial" w:cs="Arial"/>
          <w:b/>
          <w:i/>
          <w:sz w:val="20"/>
          <w:szCs w:val="20"/>
        </w:rPr>
        <w:t>Kontakty:</w:t>
      </w:r>
    </w:p>
    <w:p w:rsidR="002A4F0D" w:rsidRPr="00691AF1" w:rsidRDefault="002A4F0D" w:rsidP="002A4F0D">
      <w:pPr>
        <w:pStyle w:val="Zkladntextodsazen"/>
        <w:autoSpaceDE/>
        <w:autoSpaceDN/>
        <w:adjustRightInd/>
        <w:spacing w:line="240" w:lineRule="auto"/>
        <w:ind w:firstLine="0"/>
        <w:rPr>
          <w:bCs/>
        </w:rPr>
      </w:pPr>
      <w:r>
        <w:rPr>
          <w:b/>
          <w:bCs/>
        </w:rPr>
        <w:t>Mgr. Petr Pavelec, Ph.D.</w:t>
      </w:r>
      <w:r>
        <w:rPr>
          <w:bCs/>
        </w:rPr>
        <w:t xml:space="preserve">, ředitel, NPÚ ÚPS České Budějovice, 607 661 967, </w:t>
      </w:r>
      <w:hyperlink r:id="rId5" w:history="1">
        <w:r w:rsidRPr="00A8244A">
          <w:rPr>
            <w:rStyle w:val="Hypertextovodkaz"/>
            <w:bCs/>
          </w:rPr>
          <w:t>pavelec.petr@npu.cz</w:t>
        </w:r>
      </w:hyperlink>
      <w:r>
        <w:rPr>
          <w:bCs/>
        </w:rPr>
        <w:t xml:space="preserve">.  </w:t>
      </w:r>
    </w:p>
    <w:p w:rsidR="002A4F0D" w:rsidRDefault="002A4F0D" w:rsidP="002A4F0D">
      <w:pPr>
        <w:pStyle w:val="Zkladntextodsazen"/>
        <w:autoSpaceDE/>
        <w:autoSpaceDN/>
        <w:adjustRightInd/>
        <w:spacing w:line="240" w:lineRule="auto"/>
        <w:ind w:firstLine="0"/>
        <w:rPr>
          <w:szCs w:val="18"/>
        </w:rPr>
      </w:pPr>
      <w:r>
        <w:rPr>
          <w:b/>
          <w:bCs/>
        </w:rPr>
        <w:t>Mgr. Jitka Skořepová</w:t>
      </w:r>
      <w:r>
        <w:t xml:space="preserve">, PR, vztahy k veřejnosti, NPÚ ÚPS České Budějovice, 386 356 921, 602 626 736, </w:t>
      </w:r>
      <w:hyperlink r:id="rId6" w:history="1">
        <w:r w:rsidRPr="00CA7D85">
          <w:rPr>
            <w:rStyle w:val="Hypertextovodkaz"/>
            <w:rFonts w:eastAsia="Calibri"/>
          </w:rPr>
          <w:t>skorepova.jitka@npu.cz</w:t>
        </w:r>
      </w:hyperlink>
    </w:p>
    <w:p w:rsidR="002A4F0D" w:rsidRDefault="002A4F0D" w:rsidP="002A4F0D">
      <w:pPr>
        <w:autoSpaceDE w:val="0"/>
        <w:autoSpaceDN w:val="0"/>
        <w:adjustRightInd w:val="0"/>
        <w:spacing w:after="120"/>
        <w:rPr>
          <w:rFonts w:ascii="Arial" w:hAnsi="Arial" w:cs="Arial"/>
          <w:i/>
          <w:iCs/>
          <w:sz w:val="18"/>
          <w:szCs w:val="20"/>
        </w:rPr>
      </w:pPr>
    </w:p>
    <w:p w:rsidR="002A4F0D" w:rsidRDefault="002A4F0D" w:rsidP="002A4F0D">
      <w:pPr>
        <w:autoSpaceDE w:val="0"/>
        <w:autoSpaceDN w:val="0"/>
        <w:adjustRightInd w:val="0"/>
        <w:spacing w:after="120"/>
        <w:rPr>
          <w:rFonts w:ascii="Arial" w:hAnsi="Arial" w:cs="Arial"/>
          <w:sz w:val="18"/>
          <w:szCs w:val="20"/>
        </w:rPr>
      </w:pPr>
      <w:r>
        <w:rPr>
          <w:rFonts w:ascii="Arial" w:hAnsi="Arial" w:cs="Arial"/>
          <w:i/>
          <w:iCs/>
          <w:sz w:val="18"/>
          <w:szCs w:val="20"/>
        </w:rPr>
        <w:t xml:space="preserve">Více informací naleznete na webových stránkách </w:t>
      </w:r>
      <w:hyperlink r:id="rId7" w:history="1">
        <w:r w:rsidRPr="002D73A6">
          <w:rPr>
            <w:rStyle w:val="Hypertextovodkaz"/>
            <w:rFonts w:eastAsia="Calibri"/>
            <w:b/>
            <w:bCs/>
            <w:i/>
            <w:iCs/>
            <w:szCs w:val="20"/>
          </w:rPr>
          <w:t>www.npu-cb.eu</w:t>
        </w:r>
      </w:hyperlink>
      <w:r>
        <w:rPr>
          <w:rFonts w:ascii="Arial" w:hAnsi="Arial" w:cs="Arial"/>
          <w:b/>
          <w:bCs/>
          <w:i/>
          <w:iCs/>
          <w:sz w:val="18"/>
          <w:szCs w:val="20"/>
        </w:rPr>
        <w:t xml:space="preserve">.  </w:t>
      </w:r>
    </w:p>
    <w:p w:rsidR="002A4F0D" w:rsidRPr="00C214BC" w:rsidRDefault="002A4F0D" w:rsidP="002A4F0D">
      <w:pPr>
        <w:pStyle w:val="Zkladntext3"/>
        <w:spacing w:line="240" w:lineRule="auto"/>
        <w:rPr>
          <w:bCs/>
          <w:i/>
          <w:iCs/>
          <w:sz w:val="16"/>
        </w:rPr>
      </w:pPr>
      <w:r w:rsidRPr="00C214BC">
        <w:rPr>
          <w:b/>
          <w:bCs/>
          <w:i/>
          <w:iCs/>
          <w:sz w:val="16"/>
        </w:rPr>
        <w:t>Národní památkový ústav, územní památková správa v</w:t>
      </w:r>
      <w:r>
        <w:rPr>
          <w:b/>
          <w:bCs/>
          <w:i/>
          <w:iCs/>
          <w:sz w:val="16"/>
        </w:rPr>
        <w:t> Českých Budějovicích</w:t>
      </w:r>
      <w:r w:rsidRPr="00C214BC">
        <w:rPr>
          <w:b/>
          <w:bCs/>
          <w:i/>
          <w:iCs/>
          <w:sz w:val="16"/>
        </w:rPr>
        <w:t xml:space="preserve"> </w:t>
      </w:r>
      <w:r w:rsidRPr="00C214BC">
        <w:rPr>
          <w:bCs/>
          <w:i/>
          <w:iCs/>
          <w:sz w:val="16"/>
        </w:rPr>
        <w:t xml:space="preserve">je jedním ze čtyř pracovišť zabývajících se správou objektů v péči Národního památkového ústavu. NPÚ je největší příspěvková organizace Ministerstva kultury ČR a z pověření státu spravuje a veřejnosti zpřístupňuje více než sto nemovitých památek. V rámci zpřístupněných objektů pečuje také o přibližně tři čtvrtě milionu sbírkových předmětů a též o typické součásti zámeckých i hradních areálů: historické zahrady a parky. Z konvolutu památek přímo ve správě NPÚ je sedm zapsáno v Seznamu světového dědictví UNESCO. </w:t>
      </w:r>
    </w:p>
    <w:p w:rsidR="002A4F0D" w:rsidRPr="00C214BC" w:rsidRDefault="002A4F0D" w:rsidP="002A4F0D">
      <w:pPr>
        <w:pStyle w:val="Zkladntext3"/>
        <w:spacing w:line="240" w:lineRule="auto"/>
        <w:rPr>
          <w:bCs/>
          <w:i/>
          <w:iCs/>
          <w:sz w:val="16"/>
        </w:rPr>
      </w:pPr>
      <w:r w:rsidRPr="00C214BC">
        <w:rPr>
          <w:b/>
          <w:bCs/>
          <w:i/>
          <w:iCs/>
          <w:sz w:val="16"/>
        </w:rPr>
        <w:t>NPÚ, územní památková správa v Českých Budějovicích</w:t>
      </w:r>
      <w:r>
        <w:rPr>
          <w:b/>
          <w:bCs/>
          <w:i/>
          <w:iCs/>
          <w:sz w:val="16"/>
        </w:rPr>
        <w:t xml:space="preserve"> se </w:t>
      </w:r>
      <w:r w:rsidRPr="00C214BC">
        <w:rPr>
          <w:b/>
          <w:bCs/>
          <w:i/>
          <w:iCs/>
          <w:sz w:val="16"/>
        </w:rPr>
        <w:t xml:space="preserve"> stará o 31 památkových areálů na území krajů Jihočeský, Plzeňský a Vysočina</w:t>
      </w:r>
      <w:r w:rsidRPr="00C214BC">
        <w:rPr>
          <w:bCs/>
          <w:i/>
          <w:iCs/>
          <w:sz w:val="16"/>
        </w:rPr>
        <w:t xml:space="preserve">. Má na starosti </w:t>
      </w:r>
      <w:r w:rsidRPr="00C214BC">
        <w:rPr>
          <w:b/>
          <w:bCs/>
          <w:i/>
          <w:iCs/>
          <w:sz w:val="16"/>
        </w:rPr>
        <w:t>hrady a zámky</w:t>
      </w:r>
      <w:r w:rsidRPr="00C214BC">
        <w:rPr>
          <w:bCs/>
          <w:i/>
          <w:iCs/>
          <w:sz w:val="16"/>
        </w:rPr>
        <w:t xml:space="preserve"> (</w:t>
      </w:r>
      <w:r w:rsidRPr="00C214BC">
        <w:rPr>
          <w:i/>
          <w:iCs/>
          <w:sz w:val="16"/>
        </w:rPr>
        <w:t>SZ Červená Lhota, SHZ Český Krumlov, SZ Dačice, SZ Hluboká, SHZ Jindřichův Hradec, SZ Kratochvíle, SH Landštejn, SH Nové Hrady, SH Rožmberk, SZ Třeboň s hrobkou Domanín, SH Zvíkov, SZ Červené Poříčí, SH Gutštejn, SHZ Horšovský Týn, SZ Kozel, SZ Manětín, SZ Nebílovy, SH Přimda, SH Rabí, SH Švihov, SH Velhartice, SZ Jaroměřice nad Rokytnou, SH Lipnice, SZ Náměšť nad Oslavou, SZ Telč</w:t>
      </w:r>
      <w:r w:rsidRPr="00C214BC">
        <w:rPr>
          <w:bCs/>
          <w:i/>
          <w:iCs/>
          <w:sz w:val="16"/>
        </w:rPr>
        <w:t xml:space="preserve">), </w:t>
      </w:r>
      <w:r w:rsidRPr="00C214BC">
        <w:rPr>
          <w:b/>
          <w:bCs/>
          <w:i/>
          <w:iCs/>
          <w:sz w:val="16"/>
        </w:rPr>
        <w:t>klášterní areály</w:t>
      </w:r>
      <w:r w:rsidRPr="00C214BC">
        <w:rPr>
          <w:bCs/>
          <w:i/>
          <w:iCs/>
          <w:sz w:val="16"/>
        </w:rPr>
        <w:t xml:space="preserve"> (Kladruby, Plasy, </w:t>
      </w:r>
      <w:r w:rsidRPr="00C214BC">
        <w:rPr>
          <w:i/>
          <w:iCs/>
          <w:sz w:val="16"/>
        </w:rPr>
        <w:t>Zlatá Koruna a poutní areál  kostela sv. Jana Nepomuckého na Zelené hoře</w:t>
      </w:r>
      <w:r w:rsidRPr="00C214BC">
        <w:rPr>
          <w:bCs/>
          <w:i/>
          <w:iCs/>
          <w:sz w:val="16"/>
        </w:rPr>
        <w:t>)</w:t>
      </w:r>
      <w:r>
        <w:rPr>
          <w:bCs/>
          <w:i/>
          <w:iCs/>
          <w:sz w:val="16"/>
        </w:rPr>
        <w:t xml:space="preserve"> a</w:t>
      </w:r>
      <w:r w:rsidRPr="00C214BC">
        <w:rPr>
          <w:bCs/>
          <w:i/>
          <w:iCs/>
          <w:sz w:val="16"/>
        </w:rPr>
        <w:t xml:space="preserve"> </w:t>
      </w:r>
      <w:r w:rsidRPr="00C214BC">
        <w:rPr>
          <w:b/>
          <w:bCs/>
          <w:i/>
          <w:iCs/>
          <w:sz w:val="16"/>
        </w:rPr>
        <w:t>památky lidové architektury</w:t>
      </w:r>
      <w:r w:rsidRPr="00C214BC">
        <w:rPr>
          <w:bCs/>
          <w:i/>
          <w:iCs/>
          <w:sz w:val="16"/>
        </w:rPr>
        <w:t xml:space="preserve"> (</w:t>
      </w:r>
      <w:r w:rsidRPr="00C214BC">
        <w:rPr>
          <w:i/>
          <w:iCs/>
          <w:sz w:val="16"/>
        </w:rPr>
        <w:t>usedlost „U Matoušů“ Plzeň – Bolevec</w:t>
      </w:r>
      <w:r w:rsidRPr="00C214BC">
        <w:rPr>
          <w:bCs/>
          <w:i/>
          <w:iCs/>
          <w:sz w:val="16"/>
        </w:rPr>
        <w:t>)</w:t>
      </w:r>
      <w:r>
        <w:rPr>
          <w:bCs/>
          <w:i/>
          <w:iCs/>
          <w:sz w:val="16"/>
        </w:rPr>
        <w:t>.</w:t>
      </w:r>
      <w:r w:rsidRPr="00C214BC">
        <w:rPr>
          <w:bCs/>
          <w:i/>
          <w:iCs/>
          <w:sz w:val="16"/>
        </w:rPr>
        <w:t xml:space="preserve"> Další informace najdete na </w:t>
      </w:r>
      <w:hyperlink r:id="rId8" w:history="1">
        <w:r w:rsidRPr="00C214BC">
          <w:rPr>
            <w:rStyle w:val="Hypertextovodkaz"/>
            <w:bCs/>
            <w:i/>
            <w:iCs/>
            <w:sz w:val="16"/>
          </w:rPr>
          <w:t>www.npu.cz</w:t>
        </w:r>
      </w:hyperlink>
      <w:r w:rsidRPr="00C214BC">
        <w:rPr>
          <w:bCs/>
          <w:i/>
          <w:iCs/>
          <w:sz w:val="16"/>
        </w:rPr>
        <w:t>.</w:t>
      </w:r>
    </w:p>
    <w:p w:rsidR="002A4F0D" w:rsidRDefault="002A4F0D" w:rsidP="002A4F0D">
      <w:pPr>
        <w:pStyle w:val="Zkladntext3"/>
        <w:spacing w:line="240" w:lineRule="auto"/>
        <w:jc w:val="both"/>
        <w:rPr>
          <w:b/>
          <w:bCs/>
          <w:i/>
          <w:iCs/>
          <w:sz w:val="16"/>
        </w:rPr>
      </w:pPr>
    </w:p>
    <w:p w:rsidR="002A4F0D" w:rsidRDefault="002A4F0D" w:rsidP="002A4F0D">
      <w:pPr>
        <w:spacing w:after="200" w:line="276" w:lineRule="auto"/>
        <w:rPr>
          <w:rFonts w:ascii="Arial" w:hAnsi="Arial" w:cs="Arial"/>
          <w:iCs/>
          <w:sz w:val="20"/>
        </w:rPr>
        <w:sectPr w:rsidR="002A4F0D" w:rsidSect="00C214BC">
          <w:headerReference w:type="default" r:id="rId9"/>
          <w:headerReference w:type="first" r:id="rId10"/>
          <w:pgSz w:w="11906" w:h="16838"/>
          <w:pgMar w:top="1418" w:right="1418" w:bottom="1418" w:left="1418" w:header="709" w:footer="709" w:gutter="0"/>
          <w:cols w:space="708"/>
          <w:titlePg/>
          <w:docGrid w:linePitch="360"/>
        </w:sectPr>
      </w:pPr>
    </w:p>
    <w:p w:rsidR="002A4F0D" w:rsidRDefault="002A4F0D" w:rsidP="002A4F0D">
      <w:pPr>
        <w:spacing w:after="200" w:line="276" w:lineRule="auto"/>
        <w:rPr>
          <w:rFonts w:ascii="Arial" w:hAnsi="Arial" w:cs="Arial"/>
          <w:iCs/>
          <w:sz w:val="20"/>
        </w:rPr>
      </w:pPr>
    </w:p>
    <w:p w:rsidR="002A4F0D" w:rsidRDefault="002A4F0D" w:rsidP="002A4F0D">
      <w:pPr>
        <w:spacing w:after="200" w:line="276" w:lineRule="auto"/>
        <w:rPr>
          <w:rFonts w:ascii="Arial" w:hAnsi="Arial" w:cs="Arial"/>
          <w:iCs/>
          <w:sz w:val="20"/>
        </w:rPr>
      </w:pPr>
    </w:p>
    <w:p w:rsidR="002A4F0D" w:rsidRPr="00163ECB" w:rsidRDefault="002A4F0D" w:rsidP="002A4F0D">
      <w:pPr>
        <w:spacing w:after="200" w:line="276" w:lineRule="auto"/>
        <w:rPr>
          <w:rFonts w:ascii="Arial" w:hAnsi="Arial" w:cs="Arial"/>
          <w:b/>
          <w:iCs/>
        </w:rPr>
      </w:pPr>
      <w:r w:rsidRPr="00163ECB">
        <w:rPr>
          <w:rFonts w:ascii="Arial" w:hAnsi="Arial" w:cs="Arial"/>
          <w:b/>
          <w:iCs/>
        </w:rPr>
        <w:t>Příloha č. 1</w:t>
      </w:r>
    </w:p>
    <w:p w:rsidR="002A4F0D" w:rsidRPr="00163ECB" w:rsidRDefault="002A4F0D" w:rsidP="002A4F0D">
      <w:pPr>
        <w:spacing w:after="200" w:line="276" w:lineRule="auto"/>
        <w:rPr>
          <w:rFonts w:ascii="Arial" w:hAnsi="Arial" w:cs="Arial"/>
          <w:iCs/>
        </w:rPr>
      </w:pPr>
      <w:r w:rsidRPr="00163ECB">
        <w:rPr>
          <w:rFonts w:ascii="Arial" w:hAnsi="Arial" w:cs="Arial"/>
          <w:b/>
          <w:iCs/>
        </w:rPr>
        <w:t>Přehled návštěvnosti na památkových objektech</w:t>
      </w:r>
      <w:r w:rsidR="00BA6F12">
        <w:rPr>
          <w:rFonts w:ascii="Arial" w:hAnsi="Arial" w:cs="Arial"/>
          <w:b/>
          <w:iCs/>
        </w:rPr>
        <w:t xml:space="preserve"> Vysočiny</w:t>
      </w:r>
      <w:r w:rsidRPr="00163ECB">
        <w:rPr>
          <w:rFonts w:ascii="Arial" w:hAnsi="Arial" w:cs="Arial"/>
          <w:b/>
          <w:iCs/>
        </w:rPr>
        <w:t xml:space="preserve"> ve správě NPÚ ÚPS ČB</w:t>
      </w:r>
    </w:p>
    <w:tbl>
      <w:tblPr>
        <w:tblW w:w="12080" w:type="dxa"/>
        <w:tblInd w:w="55" w:type="dxa"/>
        <w:tblCellMar>
          <w:left w:w="70" w:type="dxa"/>
          <w:right w:w="70" w:type="dxa"/>
        </w:tblCellMar>
        <w:tblLook w:val="04A0" w:firstRow="1" w:lastRow="0" w:firstColumn="1" w:lastColumn="0" w:noHBand="0" w:noVBand="1"/>
      </w:tblPr>
      <w:tblGrid>
        <w:gridCol w:w="2200"/>
        <w:gridCol w:w="2260"/>
        <w:gridCol w:w="2460"/>
        <w:gridCol w:w="2460"/>
        <w:gridCol w:w="2700"/>
      </w:tblGrid>
      <w:tr w:rsidR="00BA6F12" w:rsidRPr="00BA6F12" w:rsidTr="00BA6F12">
        <w:trPr>
          <w:trHeight w:val="315"/>
        </w:trPr>
        <w:tc>
          <w:tcPr>
            <w:tcW w:w="2200" w:type="dxa"/>
            <w:tcBorders>
              <w:top w:val="single" w:sz="12" w:space="0" w:color="auto"/>
              <w:left w:val="single" w:sz="12" w:space="0" w:color="auto"/>
              <w:bottom w:val="nil"/>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objekt</w:t>
            </w:r>
          </w:p>
        </w:tc>
        <w:tc>
          <w:tcPr>
            <w:tcW w:w="2260" w:type="dxa"/>
            <w:tcBorders>
              <w:top w:val="single" w:sz="12" w:space="0" w:color="auto"/>
              <w:left w:val="nil"/>
              <w:bottom w:val="nil"/>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návštěvnost</w:t>
            </w:r>
          </w:p>
        </w:tc>
        <w:tc>
          <w:tcPr>
            <w:tcW w:w="2460" w:type="dxa"/>
            <w:tcBorders>
              <w:top w:val="single" w:sz="12" w:space="0" w:color="auto"/>
              <w:left w:val="nil"/>
              <w:bottom w:val="nil"/>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návštěvnost</w:t>
            </w:r>
          </w:p>
        </w:tc>
        <w:tc>
          <w:tcPr>
            <w:tcW w:w="2460" w:type="dxa"/>
            <w:tcBorders>
              <w:top w:val="single" w:sz="12" w:space="0" w:color="auto"/>
              <w:left w:val="nil"/>
              <w:bottom w:val="nil"/>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vybrané vstupné</w:t>
            </w:r>
          </w:p>
        </w:tc>
        <w:tc>
          <w:tcPr>
            <w:tcW w:w="2700" w:type="dxa"/>
            <w:tcBorders>
              <w:top w:val="single" w:sz="12" w:space="0" w:color="auto"/>
              <w:left w:val="nil"/>
              <w:bottom w:val="nil"/>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vybrané vstupné</w:t>
            </w:r>
          </w:p>
        </w:tc>
      </w:tr>
      <w:tr w:rsidR="00BA6F12" w:rsidRPr="00BA6F12" w:rsidTr="00BA6F12">
        <w:trPr>
          <w:trHeight w:val="315"/>
        </w:trPr>
        <w:tc>
          <w:tcPr>
            <w:tcW w:w="2200" w:type="dxa"/>
            <w:tcBorders>
              <w:top w:val="nil"/>
              <w:left w:val="single" w:sz="12" w:space="0" w:color="auto"/>
              <w:bottom w:val="single" w:sz="12" w:space="0" w:color="auto"/>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 </w:t>
            </w:r>
          </w:p>
        </w:tc>
        <w:tc>
          <w:tcPr>
            <w:tcW w:w="2260" w:type="dxa"/>
            <w:tcBorders>
              <w:top w:val="nil"/>
              <w:left w:val="nil"/>
              <w:bottom w:val="single" w:sz="12" w:space="0" w:color="auto"/>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I.-VII. 2013</w:t>
            </w:r>
          </w:p>
        </w:tc>
        <w:tc>
          <w:tcPr>
            <w:tcW w:w="2460" w:type="dxa"/>
            <w:tcBorders>
              <w:top w:val="nil"/>
              <w:left w:val="nil"/>
              <w:bottom w:val="single" w:sz="12" w:space="0" w:color="auto"/>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I.-VII. 2014</w:t>
            </w:r>
          </w:p>
        </w:tc>
        <w:tc>
          <w:tcPr>
            <w:tcW w:w="2460" w:type="dxa"/>
            <w:tcBorders>
              <w:top w:val="nil"/>
              <w:left w:val="nil"/>
              <w:bottom w:val="single" w:sz="12" w:space="0" w:color="auto"/>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I.-VII. 2013</w:t>
            </w:r>
          </w:p>
        </w:tc>
        <w:tc>
          <w:tcPr>
            <w:tcW w:w="2700" w:type="dxa"/>
            <w:tcBorders>
              <w:top w:val="nil"/>
              <w:left w:val="nil"/>
              <w:bottom w:val="single" w:sz="12" w:space="0" w:color="auto"/>
              <w:right w:val="single" w:sz="12" w:space="0" w:color="auto"/>
            </w:tcBorders>
            <w:shd w:val="clear" w:color="auto" w:fill="auto"/>
            <w:noWrap/>
            <w:vAlign w:val="bottom"/>
            <w:hideMark/>
          </w:tcPr>
          <w:p w:rsidR="00BA6F12" w:rsidRPr="00BA6F12" w:rsidRDefault="00BA6F12" w:rsidP="00BA6F12">
            <w:pPr>
              <w:jc w:val="center"/>
              <w:rPr>
                <w:rFonts w:ascii="Arial CE" w:hAnsi="Arial CE"/>
                <w:b/>
                <w:bCs/>
                <w:i/>
                <w:iCs/>
              </w:rPr>
            </w:pPr>
            <w:r w:rsidRPr="00BA6F12">
              <w:rPr>
                <w:rFonts w:ascii="Arial CE" w:hAnsi="Arial CE"/>
                <w:b/>
                <w:bCs/>
                <w:i/>
                <w:iCs/>
              </w:rPr>
              <w:t>I.-VII. 2014</w:t>
            </w:r>
          </w:p>
        </w:tc>
      </w:tr>
      <w:tr w:rsidR="00BA6F12" w:rsidRPr="00BA6F12" w:rsidTr="00BA6F12">
        <w:trPr>
          <w:trHeight w:val="330"/>
        </w:trPr>
        <w:tc>
          <w:tcPr>
            <w:tcW w:w="2200" w:type="dxa"/>
            <w:tcBorders>
              <w:top w:val="nil"/>
              <w:left w:val="single" w:sz="12" w:space="0" w:color="auto"/>
              <w:bottom w:val="nil"/>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Jaroměřice</w:t>
            </w:r>
          </w:p>
        </w:tc>
        <w:tc>
          <w:tcPr>
            <w:tcW w:w="2260" w:type="dxa"/>
            <w:tcBorders>
              <w:top w:val="nil"/>
              <w:left w:val="nil"/>
              <w:bottom w:val="nil"/>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18 021</w:t>
            </w:r>
          </w:p>
        </w:tc>
        <w:tc>
          <w:tcPr>
            <w:tcW w:w="2460" w:type="dxa"/>
            <w:tcBorders>
              <w:top w:val="nil"/>
              <w:left w:val="nil"/>
              <w:bottom w:val="nil"/>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16 990</w:t>
            </w:r>
          </w:p>
        </w:tc>
        <w:tc>
          <w:tcPr>
            <w:tcW w:w="2460" w:type="dxa"/>
            <w:tcBorders>
              <w:top w:val="nil"/>
              <w:left w:val="nil"/>
              <w:bottom w:val="nil"/>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983 397,50</w:t>
            </w:r>
          </w:p>
        </w:tc>
        <w:tc>
          <w:tcPr>
            <w:tcW w:w="2700" w:type="dxa"/>
            <w:tcBorders>
              <w:top w:val="nil"/>
              <w:left w:val="single" w:sz="12" w:space="0" w:color="auto"/>
              <w:bottom w:val="nil"/>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988 292,00</w:t>
            </w:r>
          </w:p>
        </w:tc>
      </w:tr>
      <w:tr w:rsidR="00BA6F12" w:rsidRPr="00BA6F12" w:rsidTr="00BA6F12">
        <w:trPr>
          <w:trHeight w:val="315"/>
        </w:trPr>
        <w:tc>
          <w:tcPr>
            <w:tcW w:w="2200"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Lipnice</w:t>
            </w:r>
          </w:p>
        </w:tc>
        <w:tc>
          <w:tcPr>
            <w:tcW w:w="2260" w:type="dxa"/>
            <w:tcBorders>
              <w:top w:val="single" w:sz="4" w:space="0" w:color="auto"/>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13 523</w:t>
            </w:r>
          </w:p>
        </w:tc>
        <w:tc>
          <w:tcPr>
            <w:tcW w:w="2460" w:type="dxa"/>
            <w:tcBorders>
              <w:top w:val="single" w:sz="4" w:space="0" w:color="auto"/>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16 290</w:t>
            </w:r>
          </w:p>
        </w:tc>
        <w:tc>
          <w:tcPr>
            <w:tcW w:w="2460" w:type="dxa"/>
            <w:tcBorders>
              <w:top w:val="single" w:sz="4" w:space="0" w:color="auto"/>
              <w:left w:val="nil"/>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541 620,00</w:t>
            </w:r>
          </w:p>
        </w:tc>
        <w:tc>
          <w:tcPr>
            <w:tcW w:w="2700" w:type="dxa"/>
            <w:tcBorders>
              <w:top w:val="single" w:sz="4" w:space="0" w:color="auto"/>
              <w:left w:val="single" w:sz="12" w:space="0" w:color="auto"/>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648 840,00</w:t>
            </w:r>
          </w:p>
        </w:tc>
      </w:tr>
      <w:tr w:rsidR="00BA6F12" w:rsidRPr="00BA6F12" w:rsidTr="00BA6F12">
        <w:trPr>
          <w:trHeight w:val="315"/>
        </w:trPr>
        <w:tc>
          <w:tcPr>
            <w:tcW w:w="2200" w:type="dxa"/>
            <w:tcBorders>
              <w:top w:val="nil"/>
              <w:left w:val="single" w:sz="12" w:space="0" w:color="auto"/>
              <w:bottom w:val="single" w:sz="4" w:space="0" w:color="auto"/>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Náměšť</w:t>
            </w:r>
          </w:p>
        </w:tc>
        <w:tc>
          <w:tcPr>
            <w:tcW w:w="2260" w:type="dxa"/>
            <w:tcBorders>
              <w:top w:val="nil"/>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7 806</w:t>
            </w:r>
          </w:p>
        </w:tc>
        <w:tc>
          <w:tcPr>
            <w:tcW w:w="2460" w:type="dxa"/>
            <w:tcBorders>
              <w:top w:val="nil"/>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7 768</w:t>
            </w:r>
          </w:p>
        </w:tc>
        <w:tc>
          <w:tcPr>
            <w:tcW w:w="2460" w:type="dxa"/>
            <w:tcBorders>
              <w:top w:val="nil"/>
              <w:left w:val="nil"/>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510 630,00</w:t>
            </w:r>
          </w:p>
        </w:tc>
        <w:tc>
          <w:tcPr>
            <w:tcW w:w="2700" w:type="dxa"/>
            <w:tcBorders>
              <w:top w:val="nil"/>
              <w:left w:val="single" w:sz="12" w:space="0" w:color="auto"/>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495 870,00</w:t>
            </w:r>
          </w:p>
        </w:tc>
      </w:tr>
      <w:tr w:rsidR="00BA6F12" w:rsidRPr="00BA6F12" w:rsidTr="00BA6F12">
        <w:trPr>
          <w:trHeight w:val="315"/>
        </w:trPr>
        <w:tc>
          <w:tcPr>
            <w:tcW w:w="2200" w:type="dxa"/>
            <w:tcBorders>
              <w:top w:val="nil"/>
              <w:left w:val="single" w:sz="12" w:space="0" w:color="auto"/>
              <w:bottom w:val="single" w:sz="4" w:space="0" w:color="auto"/>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Telč</w:t>
            </w:r>
          </w:p>
        </w:tc>
        <w:tc>
          <w:tcPr>
            <w:tcW w:w="2260" w:type="dxa"/>
            <w:tcBorders>
              <w:top w:val="nil"/>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55 796</w:t>
            </w:r>
          </w:p>
        </w:tc>
        <w:tc>
          <w:tcPr>
            <w:tcW w:w="2460" w:type="dxa"/>
            <w:tcBorders>
              <w:top w:val="nil"/>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50 557</w:t>
            </w:r>
          </w:p>
        </w:tc>
        <w:tc>
          <w:tcPr>
            <w:tcW w:w="2460" w:type="dxa"/>
            <w:tcBorders>
              <w:top w:val="nil"/>
              <w:left w:val="nil"/>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2 655 532,15</w:t>
            </w:r>
          </w:p>
        </w:tc>
        <w:tc>
          <w:tcPr>
            <w:tcW w:w="2700" w:type="dxa"/>
            <w:tcBorders>
              <w:top w:val="nil"/>
              <w:left w:val="single" w:sz="12" w:space="0" w:color="auto"/>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2 983 407,39</w:t>
            </w:r>
          </w:p>
        </w:tc>
      </w:tr>
      <w:tr w:rsidR="00BA6F12" w:rsidRPr="00BA6F12" w:rsidTr="00BA6F12">
        <w:trPr>
          <w:trHeight w:val="330"/>
        </w:trPr>
        <w:tc>
          <w:tcPr>
            <w:tcW w:w="2200" w:type="dxa"/>
            <w:tcBorders>
              <w:top w:val="nil"/>
              <w:left w:val="single" w:sz="12" w:space="0" w:color="auto"/>
              <w:bottom w:val="single" w:sz="4" w:space="0" w:color="auto"/>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Zelená hora</w:t>
            </w:r>
          </w:p>
        </w:tc>
        <w:tc>
          <w:tcPr>
            <w:tcW w:w="2260" w:type="dxa"/>
            <w:tcBorders>
              <w:top w:val="nil"/>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13 127</w:t>
            </w:r>
          </w:p>
        </w:tc>
        <w:tc>
          <w:tcPr>
            <w:tcW w:w="2460" w:type="dxa"/>
            <w:tcBorders>
              <w:top w:val="nil"/>
              <w:left w:val="nil"/>
              <w:bottom w:val="single" w:sz="4" w:space="0" w:color="auto"/>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17 634</w:t>
            </w:r>
          </w:p>
        </w:tc>
        <w:tc>
          <w:tcPr>
            <w:tcW w:w="2460" w:type="dxa"/>
            <w:tcBorders>
              <w:top w:val="nil"/>
              <w:left w:val="nil"/>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993 640,00</w:t>
            </w:r>
          </w:p>
        </w:tc>
        <w:tc>
          <w:tcPr>
            <w:tcW w:w="2700" w:type="dxa"/>
            <w:tcBorders>
              <w:top w:val="nil"/>
              <w:left w:val="single" w:sz="12" w:space="0" w:color="auto"/>
              <w:bottom w:val="single" w:sz="4" w:space="0" w:color="auto"/>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1 242 570,00</w:t>
            </w:r>
          </w:p>
        </w:tc>
      </w:tr>
      <w:tr w:rsidR="00BA6F12" w:rsidRPr="00BA6F12" w:rsidTr="00BA6F12">
        <w:trPr>
          <w:trHeight w:val="330"/>
        </w:trPr>
        <w:tc>
          <w:tcPr>
            <w:tcW w:w="2200" w:type="dxa"/>
            <w:tcBorders>
              <w:top w:val="single" w:sz="12" w:space="0" w:color="auto"/>
              <w:left w:val="single" w:sz="12" w:space="0" w:color="auto"/>
              <w:bottom w:val="nil"/>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 </w:t>
            </w:r>
          </w:p>
        </w:tc>
        <w:tc>
          <w:tcPr>
            <w:tcW w:w="2260" w:type="dxa"/>
            <w:tcBorders>
              <w:top w:val="single" w:sz="12" w:space="0" w:color="auto"/>
              <w:left w:val="nil"/>
              <w:bottom w:val="nil"/>
              <w:right w:val="single" w:sz="12" w:space="0" w:color="auto"/>
            </w:tcBorders>
            <w:shd w:val="clear" w:color="auto" w:fill="auto"/>
            <w:noWrap/>
            <w:vAlign w:val="center"/>
            <w:hideMark/>
          </w:tcPr>
          <w:p w:rsidR="00BA6F12" w:rsidRPr="00BA6F12" w:rsidRDefault="00BA6F12" w:rsidP="00BA6F12">
            <w:pPr>
              <w:jc w:val="center"/>
              <w:rPr>
                <w:rFonts w:ascii="Arial CE" w:hAnsi="Arial CE"/>
              </w:rPr>
            </w:pPr>
            <w:r w:rsidRPr="00BA6F12">
              <w:rPr>
                <w:rFonts w:ascii="Arial CE" w:hAnsi="Arial CE"/>
              </w:rPr>
              <w:t> </w:t>
            </w:r>
          </w:p>
        </w:tc>
        <w:tc>
          <w:tcPr>
            <w:tcW w:w="2460" w:type="dxa"/>
            <w:tcBorders>
              <w:top w:val="single" w:sz="12" w:space="0" w:color="auto"/>
              <w:left w:val="nil"/>
              <w:bottom w:val="nil"/>
              <w:right w:val="single" w:sz="12" w:space="0" w:color="auto"/>
            </w:tcBorders>
            <w:shd w:val="clear" w:color="auto" w:fill="auto"/>
            <w:noWrap/>
            <w:vAlign w:val="center"/>
            <w:hideMark/>
          </w:tcPr>
          <w:p w:rsidR="00BA6F12" w:rsidRPr="00BA6F12" w:rsidRDefault="00BA6F12" w:rsidP="00BA6F12">
            <w:pPr>
              <w:jc w:val="center"/>
              <w:rPr>
                <w:rFonts w:ascii="Arial CE" w:hAnsi="Arial CE"/>
              </w:rPr>
            </w:pPr>
            <w:r w:rsidRPr="00BA6F12">
              <w:rPr>
                <w:rFonts w:ascii="Arial CE" w:hAnsi="Arial CE"/>
              </w:rPr>
              <w:t> </w:t>
            </w:r>
          </w:p>
        </w:tc>
        <w:tc>
          <w:tcPr>
            <w:tcW w:w="2460" w:type="dxa"/>
            <w:tcBorders>
              <w:top w:val="single" w:sz="12" w:space="0" w:color="auto"/>
              <w:left w:val="nil"/>
              <w:bottom w:val="nil"/>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 </w:t>
            </w:r>
          </w:p>
        </w:tc>
        <w:tc>
          <w:tcPr>
            <w:tcW w:w="2700" w:type="dxa"/>
            <w:tcBorders>
              <w:top w:val="single" w:sz="12" w:space="0" w:color="auto"/>
              <w:left w:val="single" w:sz="12" w:space="0" w:color="auto"/>
              <w:bottom w:val="nil"/>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 </w:t>
            </w:r>
          </w:p>
        </w:tc>
      </w:tr>
      <w:tr w:rsidR="00BA6F12" w:rsidRPr="00BA6F12" w:rsidTr="00BA6F12">
        <w:trPr>
          <w:trHeight w:val="315"/>
        </w:trPr>
        <w:tc>
          <w:tcPr>
            <w:tcW w:w="2200" w:type="dxa"/>
            <w:tcBorders>
              <w:top w:val="nil"/>
              <w:left w:val="single" w:sz="12" w:space="0" w:color="auto"/>
              <w:bottom w:val="nil"/>
              <w:right w:val="single" w:sz="12" w:space="0" w:color="auto"/>
            </w:tcBorders>
            <w:shd w:val="clear" w:color="auto" w:fill="auto"/>
            <w:noWrap/>
            <w:vAlign w:val="bottom"/>
            <w:hideMark/>
          </w:tcPr>
          <w:p w:rsidR="00BA6F12" w:rsidRPr="00BA6F12" w:rsidRDefault="00BA6F12" w:rsidP="00BA6F12">
            <w:pPr>
              <w:rPr>
                <w:rFonts w:ascii="Arial CE" w:hAnsi="Arial CE"/>
                <w:b/>
                <w:bCs/>
              </w:rPr>
            </w:pPr>
            <w:r w:rsidRPr="00BA6F12">
              <w:rPr>
                <w:rFonts w:ascii="Arial CE" w:hAnsi="Arial CE"/>
                <w:b/>
                <w:bCs/>
              </w:rPr>
              <w:t>c e l k e m</w:t>
            </w:r>
          </w:p>
        </w:tc>
        <w:tc>
          <w:tcPr>
            <w:tcW w:w="2260" w:type="dxa"/>
            <w:tcBorders>
              <w:top w:val="nil"/>
              <w:left w:val="nil"/>
              <w:bottom w:val="nil"/>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108 273</w:t>
            </w:r>
          </w:p>
        </w:tc>
        <w:tc>
          <w:tcPr>
            <w:tcW w:w="2460" w:type="dxa"/>
            <w:tcBorders>
              <w:top w:val="nil"/>
              <w:left w:val="nil"/>
              <w:bottom w:val="nil"/>
              <w:right w:val="single" w:sz="12" w:space="0" w:color="auto"/>
            </w:tcBorders>
            <w:shd w:val="clear" w:color="auto" w:fill="auto"/>
            <w:noWrap/>
            <w:vAlign w:val="center"/>
            <w:hideMark/>
          </w:tcPr>
          <w:p w:rsidR="00BA6F12" w:rsidRPr="00BA6F12" w:rsidRDefault="00BA6F12" w:rsidP="00BA6F12">
            <w:pPr>
              <w:jc w:val="right"/>
              <w:rPr>
                <w:rFonts w:ascii="Arial CE" w:hAnsi="Arial CE"/>
              </w:rPr>
            </w:pPr>
            <w:r w:rsidRPr="00BA6F12">
              <w:rPr>
                <w:rFonts w:ascii="Arial CE" w:hAnsi="Arial CE"/>
              </w:rPr>
              <w:t>109 239</w:t>
            </w:r>
          </w:p>
        </w:tc>
        <w:tc>
          <w:tcPr>
            <w:tcW w:w="2460" w:type="dxa"/>
            <w:tcBorders>
              <w:top w:val="nil"/>
              <w:left w:val="nil"/>
              <w:bottom w:val="nil"/>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5 684 819,65</w:t>
            </w:r>
          </w:p>
        </w:tc>
        <w:tc>
          <w:tcPr>
            <w:tcW w:w="2700" w:type="dxa"/>
            <w:tcBorders>
              <w:top w:val="nil"/>
              <w:left w:val="single" w:sz="12" w:space="0" w:color="auto"/>
              <w:bottom w:val="nil"/>
              <w:right w:val="single" w:sz="8"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6 358 979,39</w:t>
            </w:r>
          </w:p>
        </w:tc>
      </w:tr>
      <w:tr w:rsidR="00BA6F12" w:rsidRPr="00BA6F12" w:rsidTr="00BA6F12">
        <w:trPr>
          <w:trHeight w:val="315"/>
        </w:trPr>
        <w:tc>
          <w:tcPr>
            <w:tcW w:w="2200" w:type="dxa"/>
            <w:tcBorders>
              <w:top w:val="nil"/>
              <w:left w:val="single" w:sz="12" w:space="0" w:color="auto"/>
              <w:bottom w:val="single" w:sz="12" w:space="0" w:color="auto"/>
              <w:right w:val="single" w:sz="12" w:space="0" w:color="auto"/>
            </w:tcBorders>
            <w:shd w:val="clear" w:color="auto" w:fill="auto"/>
            <w:noWrap/>
            <w:vAlign w:val="bottom"/>
            <w:hideMark/>
          </w:tcPr>
          <w:p w:rsidR="00BA6F12" w:rsidRPr="00BA6F12" w:rsidRDefault="00BA6F12" w:rsidP="00BA6F12">
            <w:pPr>
              <w:rPr>
                <w:rFonts w:ascii="Arial CE" w:hAnsi="Arial CE"/>
              </w:rPr>
            </w:pPr>
            <w:r w:rsidRPr="00BA6F12">
              <w:rPr>
                <w:rFonts w:ascii="Arial CE" w:hAnsi="Arial CE"/>
              </w:rPr>
              <w:t> </w:t>
            </w:r>
          </w:p>
        </w:tc>
        <w:tc>
          <w:tcPr>
            <w:tcW w:w="2260" w:type="dxa"/>
            <w:tcBorders>
              <w:top w:val="nil"/>
              <w:left w:val="nil"/>
              <w:bottom w:val="single" w:sz="12" w:space="0" w:color="auto"/>
              <w:right w:val="single" w:sz="12" w:space="0" w:color="auto"/>
            </w:tcBorders>
            <w:shd w:val="clear" w:color="auto" w:fill="auto"/>
            <w:noWrap/>
            <w:vAlign w:val="center"/>
            <w:hideMark/>
          </w:tcPr>
          <w:p w:rsidR="00BA6F12" w:rsidRPr="00BA6F12" w:rsidRDefault="00BA6F12" w:rsidP="00BA6F12">
            <w:pPr>
              <w:jc w:val="center"/>
              <w:rPr>
                <w:rFonts w:ascii="Arial CE" w:hAnsi="Arial CE"/>
              </w:rPr>
            </w:pPr>
            <w:r w:rsidRPr="00BA6F12">
              <w:rPr>
                <w:rFonts w:ascii="Arial CE" w:hAnsi="Arial CE"/>
              </w:rPr>
              <w:t> </w:t>
            </w:r>
          </w:p>
        </w:tc>
        <w:tc>
          <w:tcPr>
            <w:tcW w:w="2460" w:type="dxa"/>
            <w:tcBorders>
              <w:top w:val="nil"/>
              <w:left w:val="nil"/>
              <w:bottom w:val="single" w:sz="12" w:space="0" w:color="auto"/>
              <w:right w:val="single" w:sz="12" w:space="0" w:color="auto"/>
            </w:tcBorders>
            <w:shd w:val="clear" w:color="auto" w:fill="auto"/>
            <w:noWrap/>
            <w:vAlign w:val="center"/>
            <w:hideMark/>
          </w:tcPr>
          <w:p w:rsidR="00BA6F12" w:rsidRPr="00BA6F12" w:rsidRDefault="00BA6F12" w:rsidP="00BA6F12">
            <w:pPr>
              <w:jc w:val="center"/>
              <w:rPr>
                <w:rFonts w:ascii="Arial CE" w:hAnsi="Arial CE"/>
              </w:rPr>
            </w:pPr>
            <w:r w:rsidRPr="00BA6F12">
              <w:rPr>
                <w:rFonts w:ascii="Arial CE" w:hAnsi="Arial CE"/>
              </w:rPr>
              <w:t> </w:t>
            </w:r>
          </w:p>
        </w:tc>
        <w:tc>
          <w:tcPr>
            <w:tcW w:w="2460" w:type="dxa"/>
            <w:tcBorders>
              <w:top w:val="nil"/>
              <w:left w:val="nil"/>
              <w:bottom w:val="single" w:sz="12" w:space="0" w:color="auto"/>
              <w:right w:val="single" w:sz="12"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 </w:t>
            </w:r>
          </w:p>
        </w:tc>
        <w:tc>
          <w:tcPr>
            <w:tcW w:w="2700" w:type="dxa"/>
            <w:tcBorders>
              <w:top w:val="nil"/>
              <w:left w:val="nil"/>
              <w:bottom w:val="single" w:sz="12" w:space="0" w:color="auto"/>
              <w:right w:val="single" w:sz="12" w:space="0" w:color="auto"/>
            </w:tcBorders>
            <w:shd w:val="clear" w:color="auto" w:fill="auto"/>
            <w:noWrap/>
            <w:vAlign w:val="bottom"/>
            <w:hideMark/>
          </w:tcPr>
          <w:p w:rsidR="00BA6F12" w:rsidRPr="00BA6F12" w:rsidRDefault="00BA6F12" w:rsidP="00BA6F12">
            <w:pPr>
              <w:jc w:val="right"/>
              <w:rPr>
                <w:rFonts w:ascii="Arial CE" w:hAnsi="Arial CE"/>
              </w:rPr>
            </w:pPr>
            <w:r w:rsidRPr="00BA6F12">
              <w:rPr>
                <w:rFonts w:ascii="Arial CE" w:hAnsi="Arial CE"/>
              </w:rPr>
              <w:t> </w:t>
            </w:r>
          </w:p>
        </w:tc>
      </w:tr>
    </w:tbl>
    <w:p w:rsidR="002A4F0D" w:rsidRPr="00163ECB" w:rsidRDefault="002A4F0D" w:rsidP="002A4F0D">
      <w:pPr>
        <w:spacing w:after="200" w:line="276" w:lineRule="auto"/>
        <w:rPr>
          <w:rFonts w:ascii="Arial" w:hAnsi="Arial" w:cs="Arial"/>
          <w:iCs/>
          <w:sz w:val="20"/>
        </w:rPr>
      </w:pPr>
    </w:p>
    <w:p w:rsidR="00883612" w:rsidRDefault="00883612"/>
    <w:sectPr w:rsidR="00883612" w:rsidSect="00163ECB">
      <w:pgSz w:w="16838" w:h="11906" w:orient="landscape"/>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Arial-BoldMT">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10" w:rsidRDefault="000F609E">
    <w:pPr>
      <w:pStyle w:val="Zhlav"/>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210" w:rsidRDefault="000F609E" w:rsidP="00C25A1C">
    <w:pPr>
      <w:pStyle w:val="Zhlav"/>
      <w:tabs>
        <w:tab w:val="clear" w:pos="4536"/>
        <w:tab w:val="clear" w:pos="9072"/>
        <w:tab w:val="left" w:pos="6750"/>
      </w:tabs>
    </w:pPr>
    <w:r>
      <w:rPr>
        <w:noProof/>
        <w:sz w:val="20"/>
      </w:rPr>
      <w:drawing>
        <wp:anchor distT="0" distB="0" distL="114300" distR="114300" simplePos="0" relativeHeight="251659264" behindDoc="1" locked="0" layoutInCell="1" allowOverlap="1" wp14:anchorId="0A909DCD" wp14:editId="6902855B">
          <wp:simplePos x="0" y="0"/>
          <wp:positionH relativeFrom="column">
            <wp:posOffset>-135890</wp:posOffset>
          </wp:positionH>
          <wp:positionV relativeFrom="paragraph">
            <wp:posOffset>0</wp:posOffset>
          </wp:positionV>
          <wp:extent cx="2653030" cy="737235"/>
          <wp:effectExtent l="0" t="0" r="0" b="5715"/>
          <wp:wrapNone/>
          <wp:docPr id="3" name="Obrázek 3" descr="!NPU-UPS-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PS-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3030" cy="737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0D"/>
    <w:rsid w:val="000F609E"/>
    <w:rsid w:val="002A4F0D"/>
    <w:rsid w:val="004F7605"/>
    <w:rsid w:val="00687691"/>
    <w:rsid w:val="00883612"/>
    <w:rsid w:val="00A146A3"/>
    <w:rsid w:val="00B77A9B"/>
    <w:rsid w:val="00BA6F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F0D"/>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2A4F0D"/>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A4F0D"/>
    <w:rPr>
      <w:rFonts w:ascii="TimesNewRomanPS-BoldMT" w:eastAsia="Times New Roman" w:hAnsi="TimesNewRomanPS-BoldMT" w:cs="Times New Roman"/>
      <w:b/>
      <w:bCs/>
      <w:color w:val="000000"/>
      <w:sz w:val="24"/>
      <w:szCs w:val="24"/>
      <w:lang w:eastAsia="cs-CZ"/>
    </w:rPr>
  </w:style>
  <w:style w:type="character" w:styleId="Hypertextovodkaz">
    <w:name w:val="Hyperlink"/>
    <w:basedOn w:val="Standardnpsmoodstavce"/>
    <w:semiHidden/>
    <w:rsid w:val="002A4F0D"/>
    <w:rPr>
      <w:color w:val="0000FF"/>
      <w:u w:val="single"/>
    </w:rPr>
  </w:style>
  <w:style w:type="paragraph" w:styleId="Zhlav">
    <w:name w:val="header"/>
    <w:basedOn w:val="Normln"/>
    <w:link w:val="ZhlavChar"/>
    <w:semiHidden/>
    <w:rsid w:val="002A4F0D"/>
    <w:pPr>
      <w:tabs>
        <w:tab w:val="center" w:pos="4536"/>
        <w:tab w:val="right" w:pos="9072"/>
      </w:tabs>
    </w:pPr>
  </w:style>
  <w:style w:type="character" w:customStyle="1" w:styleId="ZhlavChar">
    <w:name w:val="Záhlaví Char"/>
    <w:basedOn w:val="Standardnpsmoodstavce"/>
    <w:link w:val="Zhlav"/>
    <w:semiHidden/>
    <w:rsid w:val="002A4F0D"/>
    <w:rPr>
      <w:rFonts w:ascii="Times New Roman" w:eastAsia="Times New Roman" w:hAnsi="Times New Roman" w:cs="Times New Roman"/>
      <w:sz w:val="24"/>
      <w:szCs w:val="24"/>
      <w:lang w:eastAsia="cs-CZ"/>
    </w:rPr>
  </w:style>
  <w:style w:type="paragraph" w:styleId="Prosttext">
    <w:name w:val="Plain Text"/>
    <w:basedOn w:val="Normln"/>
    <w:link w:val="ProsttextChar"/>
    <w:semiHidden/>
    <w:unhideWhenUsed/>
    <w:rsid w:val="002A4F0D"/>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2A4F0D"/>
    <w:rPr>
      <w:rFonts w:ascii="Verdana" w:eastAsia="Calibri" w:hAnsi="Verdana" w:cs="Times New Roman"/>
      <w:sz w:val="18"/>
      <w:szCs w:val="21"/>
    </w:rPr>
  </w:style>
  <w:style w:type="paragraph" w:styleId="Zkladntextodsazen">
    <w:name w:val="Body Text Indent"/>
    <w:basedOn w:val="Normln"/>
    <w:link w:val="ZkladntextodsazenChar"/>
    <w:semiHidden/>
    <w:rsid w:val="002A4F0D"/>
    <w:pPr>
      <w:autoSpaceDE w:val="0"/>
      <w:autoSpaceDN w:val="0"/>
      <w:adjustRightInd w:val="0"/>
      <w:spacing w:line="312" w:lineRule="auto"/>
      <w:ind w:firstLine="708"/>
    </w:pPr>
    <w:rPr>
      <w:rFonts w:ascii="Arial" w:hAnsi="Arial" w:cs="Arial"/>
      <w:sz w:val="20"/>
    </w:rPr>
  </w:style>
  <w:style w:type="character" w:customStyle="1" w:styleId="ZkladntextodsazenChar">
    <w:name w:val="Základní text odsazený Char"/>
    <w:basedOn w:val="Standardnpsmoodstavce"/>
    <w:link w:val="Zkladntextodsazen"/>
    <w:semiHidden/>
    <w:rsid w:val="002A4F0D"/>
    <w:rPr>
      <w:rFonts w:ascii="Arial" w:eastAsia="Times New Roman" w:hAnsi="Arial" w:cs="Arial"/>
      <w:sz w:val="20"/>
      <w:szCs w:val="24"/>
      <w:lang w:eastAsia="cs-CZ"/>
    </w:rPr>
  </w:style>
  <w:style w:type="paragraph" w:styleId="Zkladntext3">
    <w:name w:val="Body Text 3"/>
    <w:basedOn w:val="Normln"/>
    <w:link w:val="Zkladntext3Char"/>
    <w:semiHidden/>
    <w:rsid w:val="002A4F0D"/>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2A4F0D"/>
    <w:rPr>
      <w:rFonts w:ascii="Arial" w:eastAsia="Times New Roman" w:hAnsi="Arial" w:cs="Arial"/>
      <w:sz w:val="20"/>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4F0D"/>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2A4F0D"/>
    <w:pPr>
      <w:keepNext/>
      <w:pBdr>
        <w:bottom w:val="single" w:sz="4" w:space="1" w:color="auto"/>
      </w:pBdr>
      <w:autoSpaceDE w:val="0"/>
      <w:autoSpaceDN w:val="0"/>
      <w:adjustRightInd w:val="0"/>
      <w:spacing w:after="120"/>
      <w:outlineLvl w:val="2"/>
    </w:pPr>
    <w:rPr>
      <w:rFonts w:ascii="TimesNewRomanPS-BoldMT" w:hAnsi="TimesNewRomanPS-BoldMT"/>
      <w:b/>
      <w:bCs/>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2A4F0D"/>
    <w:rPr>
      <w:rFonts w:ascii="TimesNewRomanPS-BoldMT" w:eastAsia="Times New Roman" w:hAnsi="TimesNewRomanPS-BoldMT" w:cs="Times New Roman"/>
      <w:b/>
      <w:bCs/>
      <w:color w:val="000000"/>
      <w:sz w:val="24"/>
      <w:szCs w:val="24"/>
      <w:lang w:eastAsia="cs-CZ"/>
    </w:rPr>
  </w:style>
  <w:style w:type="character" w:styleId="Hypertextovodkaz">
    <w:name w:val="Hyperlink"/>
    <w:basedOn w:val="Standardnpsmoodstavce"/>
    <w:semiHidden/>
    <w:rsid w:val="002A4F0D"/>
    <w:rPr>
      <w:color w:val="0000FF"/>
      <w:u w:val="single"/>
    </w:rPr>
  </w:style>
  <w:style w:type="paragraph" w:styleId="Zhlav">
    <w:name w:val="header"/>
    <w:basedOn w:val="Normln"/>
    <w:link w:val="ZhlavChar"/>
    <w:semiHidden/>
    <w:rsid w:val="002A4F0D"/>
    <w:pPr>
      <w:tabs>
        <w:tab w:val="center" w:pos="4536"/>
        <w:tab w:val="right" w:pos="9072"/>
      </w:tabs>
    </w:pPr>
  </w:style>
  <w:style w:type="character" w:customStyle="1" w:styleId="ZhlavChar">
    <w:name w:val="Záhlaví Char"/>
    <w:basedOn w:val="Standardnpsmoodstavce"/>
    <w:link w:val="Zhlav"/>
    <w:semiHidden/>
    <w:rsid w:val="002A4F0D"/>
    <w:rPr>
      <w:rFonts w:ascii="Times New Roman" w:eastAsia="Times New Roman" w:hAnsi="Times New Roman" w:cs="Times New Roman"/>
      <w:sz w:val="24"/>
      <w:szCs w:val="24"/>
      <w:lang w:eastAsia="cs-CZ"/>
    </w:rPr>
  </w:style>
  <w:style w:type="paragraph" w:styleId="Prosttext">
    <w:name w:val="Plain Text"/>
    <w:basedOn w:val="Normln"/>
    <w:link w:val="ProsttextChar"/>
    <w:semiHidden/>
    <w:unhideWhenUsed/>
    <w:rsid w:val="002A4F0D"/>
    <w:rPr>
      <w:rFonts w:ascii="Verdana" w:eastAsia="Calibri" w:hAnsi="Verdana"/>
      <w:sz w:val="18"/>
      <w:szCs w:val="21"/>
      <w:lang w:eastAsia="en-US"/>
    </w:rPr>
  </w:style>
  <w:style w:type="character" w:customStyle="1" w:styleId="ProsttextChar">
    <w:name w:val="Prostý text Char"/>
    <w:basedOn w:val="Standardnpsmoodstavce"/>
    <w:link w:val="Prosttext"/>
    <w:semiHidden/>
    <w:rsid w:val="002A4F0D"/>
    <w:rPr>
      <w:rFonts w:ascii="Verdana" w:eastAsia="Calibri" w:hAnsi="Verdana" w:cs="Times New Roman"/>
      <w:sz w:val="18"/>
      <w:szCs w:val="21"/>
    </w:rPr>
  </w:style>
  <w:style w:type="paragraph" w:styleId="Zkladntextodsazen">
    <w:name w:val="Body Text Indent"/>
    <w:basedOn w:val="Normln"/>
    <w:link w:val="ZkladntextodsazenChar"/>
    <w:semiHidden/>
    <w:rsid w:val="002A4F0D"/>
    <w:pPr>
      <w:autoSpaceDE w:val="0"/>
      <w:autoSpaceDN w:val="0"/>
      <w:adjustRightInd w:val="0"/>
      <w:spacing w:line="312" w:lineRule="auto"/>
      <w:ind w:firstLine="708"/>
    </w:pPr>
    <w:rPr>
      <w:rFonts w:ascii="Arial" w:hAnsi="Arial" w:cs="Arial"/>
      <w:sz w:val="20"/>
    </w:rPr>
  </w:style>
  <w:style w:type="character" w:customStyle="1" w:styleId="ZkladntextodsazenChar">
    <w:name w:val="Základní text odsazený Char"/>
    <w:basedOn w:val="Standardnpsmoodstavce"/>
    <w:link w:val="Zkladntextodsazen"/>
    <w:semiHidden/>
    <w:rsid w:val="002A4F0D"/>
    <w:rPr>
      <w:rFonts w:ascii="Arial" w:eastAsia="Times New Roman" w:hAnsi="Arial" w:cs="Arial"/>
      <w:sz w:val="20"/>
      <w:szCs w:val="24"/>
      <w:lang w:eastAsia="cs-CZ"/>
    </w:rPr>
  </w:style>
  <w:style w:type="paragraph" w:styleId="Zkladntext3">
    <w:name w:val="Body Text 3"/>
    <w:basedOn w:val="Normln"/>
    <w:link w:val="Zkladntext3Char"/>
    <w:semiHidden/>
    <w:rsid w:val="002A4F0D"/>
    <w:pPr>
      <w:autoSpaceDE w:val="0"/>
      <w:autoSpaceDN w:val="0"/>
      <w:adjustRightInd w:val="0"/>
      <w:spacing w:line="312" w:lineRule="auto"/>
    </w:pPr>
    <w:rPr>
      <w:rFonts w:ascii="Arial" w:hAnsi="Arial" w:cs="Arial"/>
      <w:sz w:val="20"/>
    </w:rPr>
  </w:style>
  <w:style w:type="character" w:customStyle="1" w:styleId="Zkladntext3Char">
    <w:name w:val="Základní text 3 Char"/>
    <w:basedOn w:val="Standardnpsmoodstavce"/>
    <w:link w:val="Zkladntext3"/>
    <w:semiHidden/>
    <w:rsid w:val="002A4F0D"/>
    <w:rPr>
      <w:rFonts w:ascii="Arial" w:eastAsia="Times New Roman" w:hAnsi="Arial" w:cs="Arial"/>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1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ettings" Target="settings.xml"/><Relationship Id="rId7" Type="http://schemas.openxmlformats.org/officeDocument/2006/relationships/hyperlink" Target="http://www.npu-cb.e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korepova.jitka@npu.cz" TargetMode="External"/><Relationship Id="rId11" Type="http://schemas.openxmlformats.org/officeDocument/2006/relationships/fontTable" Target="fontTable.xml"/><Relationship Id="rId5" Type="http://schemas.openxmlformats.org/officeDocument/2006/relationships/hyperlink" Target="mailto:pavelec.petr@npu.cz"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656</Words>
  <Characters>3877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Skorepova</dc:creator>
  <cp:lastModifiedBy>Jitka Skorepova</cp:lastModifiedBy>
  <cp:revision>4</cp:revision>
  <dcterms:created xsi:type="dcterms:W3CDTF">2014-08-05T12:27:00Z</dcterms:created>
  <dcterms:modified xsi:type="dcterms:W3CDTF">2014-08-05T13:33:00Z</dcterms:modified>
</cp:coreProperties>
</file>